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F5D47" w:rsidRDefault="00000000">
      <w:pPr>
        <w:spacing w:after="0" w:line="240" w:lineRule="auto"/>
        <w:rPr>
          <w:rFonts w:ascii="Arial" w:eastAsia="Arial" w:hAnsi="Arial" w:cs="Arial"/>
          <w:b/>
          <w:bCs/>
        </w:rPr>
      </w:pPr>
      <w:r>
        <w:rPr>
          <w:noProof/>
        </w:rPr>
        <mc:AlternateContent>
          <mc:Choice Requires="wpg">
            <w:drawing>
              <wp:anchor distT="0" distB="0" distL="114300" distR="114300" simplePos="0" relativeHeight="251658240" behindDoc="0" locked="0" layoutInCell="1" hidden="0" allowOverlap="1" wp14:anchorId="4BF17F89" wp14:editId="0AB67720">
                <wp:simplePos x="0" y="0"/>
                <wp:positionH relativeFrom="column">
                  <wp:posOffset>-1084259</wp:posOffset>
                </wp:positionH>
                <wp:positionV relativeFrom="paragraph">
                  <wp:posOffset>9126538</wp:posOffset>
                </wp:positionV>
                <wp:extent cx="7821295" cy="69850"/>
                <wp:effectExtent l="0" t="0" r="0" b="0"/>
                <wp:wrapNone/>
                <wp:docPr id="875461172" name="Rectángulo 875461172"/>
                <wp:cNvGraphicFramePr/>
                <a:graphic xmlns:a="http://schemas.openxmlformats.org/drawingml/2006/main">
                  <a:graphicData uri="http://schemas.microsoft.com/office/word/2010/wordprocessingShape">
                    <wps:wsp>
                      <wps:cNvSpPr/>
                      <wps:spPr>
                        <a:xfrm>
                          <a:off x="1463928" y="3779683"/>
                          <a:ext cx="7764145" cy="635"/>
                        </a:xfrm>
                        <a:prstGeom prst="rect">
                          <a:avLst/>
                        </a:prstGeom>
                        <a:solidFill>
                          <a:srgbClr val="FFFFFF"/>
                        </a:solidFill>
                        <a:ln>
                          <a:noFill/>
                        </a:ln>
                      </wps:spPr>
                      <wps:txbx>
                        <w:txbxContent>
                          <w:p w14:paraId="3D2D9C0F" w14:textId="77777777" w:rsidR="004F5D47" w:rsidRDefault="00000000">
                            <w:pPr>
                              <w:spacing w:after="200" w:line="240" w:lineRule="auto"/>
                              <w:textDirection w:val="btLr"/>
                            </w:pPr>
                            <w:r>
                              <w:rPr>
                                <w:rFonts w:ascii="Arial" w:eastAsia="Arial" w:hAnsi="Arial" w:cs="Arial"/>
                                <w:i/>
                                <w:color w:val="44546A"/>
                                <w:sz w:val="18"/>
                              </w:rPr>
                              <w:t xml:space="preserve">Ilustración </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-1084259</wp:posOffset>
                </wp:positionH>
                <wp:positionV relativeFrom="paragraph">
                  <wp:posOffset>9126538</wp:posOffset>
                </wp:positionV>
                <wp:extent cx="7821295" cy="69850"/>
                <wp:effectExtent b="0" l="0" r="0" t="0"/>
                <wp:wrapNone/>
                <wp:docPr id="875461172" name="image9.png"/>
                <a:graphic>
                  <a:graphicData uri="http://schemas.openxmlformats.org/drawingml/2006/picture">
                    <pic:pic>
                      <pic:nvPicPr>
                        <pic:cNvPr id="0" name="image9.png"/>
                        <pic:cNvPicPr preferRelativeResize="0"/>
                      </pic:nvPicPr>
                      <pic:blipFill>
                        <a:blip r:embed="rId9"/>
                        <a:srcRect/>
                        <a:stretch>
                          <a:fillRect/>
                        </a:stretch>
                      </pic:blipFill>
                      <pic:spPr>
                        <a:xfrm>
                          <a:off x="0" y="0"/>
                          <a:ext cx="7821295" cy="69850"/>
                        </a:xfrm>
                        <a:prstGeom prst="rect"/>
                        <a:ln/>
                      </pic:spPr>
                    </pic:pic>
                  </a:graphicData>
                </a:graphic>
              </wp:anchor>
            </w:drawing>
          </mc:Fallback>
        </mc:AlternateContent>
      </w:r>
      <w:r>
        <w:rPr>
          <w:noProof/>
        </w:rPr>
        <w:drawing>
          <wp:anchor distT="0" distB="0" distL="114300" distR="114300" simplePos="0" relativeHeight="251659264" behindDoc="0" locked="0" layoutInCell="1" hidden="0" allowOverlap="1" wp14:anchorId="1504BDA0" wp14:editId="71EB6309">
            <wp:simplePos x="0" y="0"/>
            <wp:positionH relativeFrom="column">
              <wp:posOffset>1095776</wp:posOffset>
            </wp:positionH>
            <wp:positionV relativeFrom="paragraph">
              <wp:posOffset>0</wp:posOffset>
            </wp:positionV>
            <wp:extent cx="3420578" cy="1037124"/>
            <wp:effectExtent l="0" t="0" r="0" b="0"/>
            <wp:wrapSquare wrapText="bothSides" distT="0" distB="0" distL="114300" distR="114300"/>
            <wp:docPr id="87546117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t="972" b="9560"/>
                    <a:stretch>
                      <a:fillRect/>
                    </a:stretch>
                  </pic:blipFill>
                  <pic:spPr>
                    <a:xfrm>
                      <a:off x="0" y="0"/>
                      <a:ext cx="3420578" cy="1037124"/>
                    </a:xfrm>
                    <a:prstGeom prst="rect">
                      <a:avLst/>
                    </a:prstGeom>
                    <a:ln/>
                  </pic:spPr>
                </pic:pic>
              </a:graphicData>
            </a:graphic>
          </wp:anchor>
        </w:drawing>
      </w:r>
    </w:p>
    <w:p w14:paraId="00000002" w14:textId="77777777" w:rsidR="004F5D47" w:rsidRDefault="00000000">
      <w:pPr>
        <w:spacing w:after="0" w:line="240" w:lineRule="auto"/>
        <w:rPr>
          <w:rFonts w:ascii="Arial" w:eastAsia="Arial" w:hAnsi="Arial" w:cs="Arial"/>
        </w:rPr>
      </w:pPr>
      <w:r>
        <w:rPr>
          <w:rFonts w:ascii="Arial" w:eastAsia="Arial" w:hAnsi="Arial" w:cs="Arial"/>
        </w:rPr>
        <w:t xml:space="preserve"> </w:t>
      </w:r>
    </w:p>
    <w:p w14:paraId="00000003" w14:textId="77777777" w:rsidR="004F5D47" w:rsidRDefault="004F5D47">
      <w:pPr>
        <w:spacing w:after="0" w:line="240" w:lineRule="auto"/>
        <w:rPr>
          <w:rFonts w:ascii="Arial" w:eastAsia="Arial" w:hAnsi="Arial" w:cs="Arial"/>
        </w:rPr>
      </w:pPr>
    </w:p>
    <w:p w14:paraId="00000004" w14:textId="77777777" w:rsidR="004F5D47" w:rsidRDefault="004F5D47">
      <w:pPr>
        <w:spacing w:after="0" w:line="240" w:lineRule="auto"/>
        <w:rPr>
          <w:rFonts w:ascii="Arial" w:eastAsia="Arial" w:hAnsi="Arial" w:cs="Arial"/>
        </w:rPr>
      </w:pPr>
    </w:p>
    <w:p w14:paraId="00000005" w14:textId="77777777" w:rsidR="004F5D47" w:rsidRDefault="004F5D47">
      <w:pPr>
        <w:spacing w:after="0" w:line="240" w:lineRule="auto"/>
        <w:rPr>
          <w:rFonts w:ascii="Arial" w:eastAsia="Arial" w:hAnsi="Arial" w:cs="Arial"/>
        </w:rPr>
      </w:pPr>
    </w:p>
    <w:p w14:paraId="00000006" w14:textId="77777777" w:rsidR="004F5D47" w:rsidRDefault="004F5D47">
      <w:pPr>
        <w:spacing w:after="0" w:line="240" w:lineRule="auto"/>
        <w:jc w:val="center"/>
        <w:rPr>
          <w:rFonts w:ascii="Arial" w:eastAsia="Arial" w:hAnsi="Arial" w:cs="Arial"/>
          <w:b/>
          <w:bCs/>
          <w:color w:val="E4032E"/>
        </w:rPr>
      </w:pPr>
      <w:bookmarkStart w:id="0" w:name="_heading=h.gjdgxs" w:colFirst="0" w:colLast="0"/>
      <w:bookmarkEnd w:id="0"/>
    </w:p>
    <w:p w14:paraId="00000007" w14:textId="77777777" w:rsidR="004F5D47" w:rsidRDefault="004F5D47">
      <w:pPr>
        <w:spacing w:after="0" w:line="240" w:lineRule="auto"/>
        <w:jc w:val="center"/>
        <w:rPr>
          <w:rFonts w:ascii="Arial" w:eastAsia="Arial" w:hAnsi="Arial" w:cs="Arial"/>
          <w:b/>
          <w:bCs/>
          <w:color w:val="E4032E"/>
          <w:sz w:val="36"/>
          <w:szCs w:val="36"/>
        </w:rPr>
      </w:pPr>
    </w:p>
    <w:p w14:paraId="00000008" w14:textId="77777777" w:rsidR="004F5D47" w:rsidRDefault="00000000">
      <w:pPr>
        <w:spacing w:after="0" w:line="240" w:lineRule="auto"/>
        <w:jc w:val="center"/>
        <w:rPr>
          <w:rFonts w:ascii="Arial" w:eastAsia="Arial" w:hAnsi="Arial" w:cs="Arial"/>
          <w:b/>
          <w:bCs/>
          <w:color w:val="E4032E"/>
          <w:sz w:val="28"/>
          <w:szCs w:val="28"/>
        </w:rPr>
      </w:pPr>
      <w:r>
        <w:rPr>
          <w:rFonts w:ascii="Arial" w:eastAsia="Arial" w:hAnsi="Arial" w:cs="Arial"/>
          <w:b/>
          <w:bCs/>
          <w:color w:val="E4032E"/>
          <w:sz w:val="28"/>
          <w:szCs w:val="28"/>
        </w:rPr>
        <w:t>Informe de Gestión</w:t>
      </w:r>
    </w:p>
    <w:p w14:paraId="00000009" w14:textId="77777777" w:rsidR="004F5D47" w:rsidRDefault="004F5D47">
      <w:pPr>
        <w:spacing w:after="0" w:line="240" w:lineRule="auto"/>
        <w:jc w:val="center"/>
        <w:rPr>
          <w:rFonts w:ascii="Arial" w:eastAsia="Arial" w:hAnsi="Arial" w:cs="Arial"/>
          <w:b/>
          <w:bCs/>
          <w:color w:val="003600"/>
          <w:sz w:val="28"/>
          <w:szCs w:val="28"/>
        </w:rPr>
      </w:pPr>
    </w:p>
    <w:p w14:paraId="0000000A" w14:textId="77777777" w:rsidR="004F5D47" w:rsidRDefault="00000000">
      <w:pPr>
        <w:shd w:val="clear" w:color="auto" w:fill="FFFFFF"/>
        <w:spacing w:after="0" w:line="240" w:lineRule="auto"/>
        <w:jc w:val="both"/>
        <w:rPr>
          <w:rFonts w:ascii="Arial" w:eastAsia="Arial" w:hAnsi="Arial" w:cs="Arial"/>
          <w:color w:val="202124"/>
          <w:sz w:val="28"/>
          <w:szCs w:val="28"/>
        </w:rPr>
      </w:pPr>
      <w:r>
        <w:rPr>
          <w:rFonts w:ascii="Arial" w:eastAsia="Arial" w:hAnsi="Arial" w:cs="Arial"/>
          <w:color w:val="202124"/>
          <w:sz w:val="28"/>
          <w:szCs w:val="28"/>
        </w:rPr>
        <w:t>NÚMERO DEL ACUERDO:</w:t>
      </w:r>
      <w:r>
        <w:rPr>
          <w:rFonts w:ascii="Arial" w:eastAsia="Arial" w:hAnsi="Arial" w:cs="Arial"/>
          <w:color w:val="202124"/>
          <w:sz w:val="28"/>
          <w:szCs w:val="28"/>
        </w:rPr>
        <w:tab/>
      </w:r>
      <w:r>
        <w:rPr>
          <w:rFonts w:ascii="Arial" w:eastAsia="Arial" w:hAnsi="Arial" w:cs="Arial"/>
          <w:b/>
          <w:bCs/>
          <w:color w:val="202124"/>
          <w:sz w:val="28"/>
          <w:szCs w:val="28"/>
        </w:rPr>
        <w:t>802 de 2021</w:t>
      </w:r>
    </w:p>
    <w:p w14:paraId="0000000B" w14:textId="77777777" w:rsidR="004F5D47" w:rsidRDefault="004F5D47">
      <w:pPr>
        <w:shd w:val="clear" w:color="auto" w:fill="FFFFFF"/>
        <w:spacing w:after="0" w:line="240" w:lineRule="auto"/>
        <w:jc w:val="both"/>
        <w:rPr>
          <w:rFonts w:ascii="Arial" w:eastAsia="Arial" w:hAnsi="Arial" w:cs="Arial"/>
          <w:color w:val="202124"/>
          <w:sz w:val="28"/>
          <w:szCs w:val="28"/>
        </w:rPr>
      </w:pPr>
    </w:p>
    <w:p w14:paraId="0000000C" w14:textId="77777777" w:rsidR="004F5D47" w:rsidRDefault="00000000">
      <w:pPr>
        <w:shd w:val="clear" w:color="auto" w:fill="FFFFFF"/>
        <w:spacing w:after="0" w:line="240" w:lineRule="auto"/>
        <w:ind w:left="3544" w:hanging="3544"/>
        <w:jc w:val="both"/>
        <w:rPr>
          <w:rFonts w:ascii="Arial" w:eastAsia="Arial" w:hAnsi="Arial" w:cs="Arial"/>
          <w:b/>
          <w:bCs/>
          <w:color w:val="202124"/>
          <w:sz w:val="28"/>
          <w:szCs w:val="28"/>
        </w:rPr>
      </w:pPr>
      <w:r>
        <w:rPr>
          <w:rFonts w:ascii="Arial" w:eastAsia="Arial" w:hAnsi="Arial" w:cs="Arial"/>
          <w:color w:val="202124"/>
          <w:sz w:val="28"/>
          <w:szCs w:val="28"/>
        </w:rPr>
        <w:t xml:space="preserve">TÍTULO: </w:t>
      </w:r>
      <w:r>
        <w:rPr>
          <w:rFonts w:ascii="Arial" w:eastAsia="Arial" w:hAnsi="Arial" w:cs="Arial"/>
          <w:color w:val="202124"/>
          <w:sz w:val="28"/>
          <w:szCs w:val="28"/>
        </w:rPr>
        <w:tab/>
      </w:r>
      <w:r>
        <w:rPr>
          <w:rFonts w:ascii="Arial" w:eastAsia="Arial" w:hAnsi="Arial" w:cs="Arial"/>
          <w:b/>
          <w:bCs/>
          <w:color w:val="202124"/>
          <w:sz w:val="28"/>
          <w:szCs w:val="28"/>
        </w:rPr>
        <w:t>Por el cual se establecen lineamientos para la formulación de la metodología para la evaluación y ajuste de los intervalos del Índice Bogotano de Calidad de Aire - IBOCA, y se dictan otras disposiciones</w:t>
      </w:r>
    </w:p>
    <w:p w14:paraId="0000000D" w14:textId="77777777" w:rsidR="004F5D47" w:rsidRDefault="004F5D47">
      <w:pPr>
        <w:shd w:val="clear" w:color="auto" w:fill="FFFFFF"/>
        <w:spacing w:after="0" w:line="240" w:lineRule="auto"/>
        <w:ind w:left="3544" w:hanging="3544"/>
        <w:jc w:val="both"/>
        <w:rPr>
          <w:rFonts w:ascii="Arial" w:eastAsia="Arial" w:hAnsi="Arial" w:cs="Arial"/>
          <w:color w:val="202124"/>
          <w:sz w:val="28"/>
          <w:szCs w:val="28"/>
        </w:rPr>
      </w:pPr>
    </w:p>
    <w:p w14:paraId="0000000E" w14:textId="77777777" w:rsidR="004F5D47" w:rsidRDefault="004F5D47">
      <w:pPr>
        <w:shd w:val="clear" w:color="auto" w:fill="FFFFFF"/>
        <w:spacing w:after="0" w:line="240" w:lineRule="auto"/>
        <w:ind w:left="3544" w:hanging="3544"/>
        <w:jc w:val="both"/>
        <w:rPr>
          <w:rFonts w:ascii="Arial" w:eastAsia="Arial" w:hAnsi="Arial" w:cs="Arial"/>
          <w:color w:val="202124"/>
          <w:sz w:val="28"/>
          <w:szCs w:val="28"/>
        </w:rPr>
      </w:pPr>
    </w:p>
    <w:p w14:paraId="0000000F" w14:textId="77777777" w:rsidR="004F5D47" w:rsidRDefault="004F5D47">
      <w:pPr>
        <w:shd w:val="clear" w:color="auto" w:fill="FFFFFF"/>
        <w:spacing w:after="0" w:line="240" w:lineRule="auto"/>
        <w:ind w:left="3544" w:hanging="3544"/>
        <w:jc w:val="both"/>
        <w:rPr>
          <w:rFonts w:ascii="Arial" w:eastAsia="Arial" w:hAnsi="Arial" w:cs="Arial"/>
          <w:color w:val="202124"/>
          <w:sz w:val="28"/>
          <w:szCs w:val="28"/>
        </w:rPr>
      </w:pPr>
    </w:p>
    <w:p w14:paraId="00000010" w14:textId="77777777" w:rsidR="004F5D47" w:rsidRDefault="00000000">
      <w:pPr>
        <w:shd w:val="clear" w:color="auto" w:fill="FFFFFF"/>
        <w:spacing w:after="0" w:line="240" w:lineRule="auto"/>
        <w:ind w:left="3544" w:hanging="3544"/>
        <w:jc w:val="both"/>
        <w:rPr>
          <w:rFonts w:ascii="Arial" w:eastAsia="Arial" w:hAnsi="Arial" w:cs="Arial"/>
          <w:b/>
          <w:bCs/>
          <w:color w:val="202124"/>
          <w:sz w:val="28"/>
          <w:szCs w:val="28"/>
        </w:rPr>
      </w:pPr>
      <w:r>
        <w:rPr>
          <w:rFonts w:ascii="Arial" w:eastAsia="Arial" w:hAnsi="Arial" w:cs="Arial"/>
          <w:color w:val="202124"/>
          <w:sz w:val="28"/>
          <w:szCs w:val="28"/>
        </w:rPr>
        <w:t>PERIODO DE REPORTE:</w:t>
      </w:r>
      <w:r>
        <w:rPr>
          <w:rFonts w:ascii="Arial" w:eastAsia="Arial" w:hAnsi="Arial" w:cs="Arial"/>
          <w:color w:val="202124"/>
          <w:sz w:val="28"/>
          <w:szCs w:val="28"/>
        </w:rPr>
        <w:tab/>
      </w:r>
      <w:r>
        <w:rPr>
          <w:rFonts w:ascii="Arial" w:eastAsia="Arial" w:hAnsi="Arial" w:cs="Arial"/>
          <w:b/>
          <w:bCs/>
          <w:color w:val="202124"/>
          <w:sz w:val="28"/>
          <w:szCs w:val="28"/>
        </w:rPr>
        <w:t>MARZO 2025 A FEBRERO 2026</w:t>
      </w:r>
    </w:p>
    <w:p w14:paraId="00000011" w14:textId="77777777" w:rsidR="004F5D47" w:rsidRDefault="004F5D47">
      <w:pPr>
        <w:spacing w:after="0" w:line="240" w:lineRule="auto"/>
        <w:jc w:val="center"/>
        <w:rPr>
          <w:rFonts w:ascii="Arial" w:eastAsia="Arial" w:hAnsi="Arial" w:cs="Arial"/>
          <w:b/>
          <w:bCs/>
          <w:color w:val="E4032E"/>
          <w:sz w:val="28"/>
          <w:szCs w:val="28"/>
        </w:rPr>
      </w:pPr>
    </w:p>
    <w:p w14:paraId="00000012" w14:textId="77777777" w:rsidR="004F5D47" w:rsidRDefault="004F5D47">
      <w:pPr>
        <w:spacing w:after="0" w:line="240" w:lineRule="auto"/>
        <w:jc w:val="center"/>
        <w:rPr>
          <w:rFonts w:ascii="Arial" w:eastAsia="Arial" w:hAnsi="Arial" w:cs="Arial"/>
          <w:b/>
          <w:bCs/>
          <w:color w:val="E4032E"/>
          <w:sz w:val="28"/>
          <w:szCs w:val="28"/>
        </w:rPr>
      </w:pPr>
    </w:p>
    <w:p w14:paraId="00000013" w14:textId="77777777" w:rsidR="004F5D47" w:rsidRDefault="004F5D47">
      <w:pPr>
        <w:spacing w:after="0" w:line="240" w:lineRule="auto"/>
        <w:jc w:val="center"/>
        <w:rPr>
          <w:rFonts w:ascii="Arial" w:eastAsia="Arial" w:hAnsi="Arial" w:cs="Arial"/>
          <w:b/>
          <w:bCs/>
          <w:color w:val="E4032E"/>
          <w:sz w:val="28"/>
          <w:szCs w:val="28"/>
        </w:rPr>
      </w:pPr>
    </w:p>
    <w:p w14:paraId="00000014" w14:textId="77777777" w:rsidR="004F5D47" w:rsidRDefault="004F5D47">
      <w:pPr>
        <w:spacing w:after="0" w:line="240" w:lineRule="auto"/>
        <w:jc w:val="center"/>
        <w:rPr>
          <w:rFonts w:ascii="Arial" w:eastAsia="Arial" w:hAnsi="Arial" w:cs="Arial"/>
          <w:b/>
          <w:bCs/>
          <w:color w:val="E4032E"/>
          <w:sz w:val="28"/>
          <w:szCs w:val="28"/>
        </w:rPr>
      </w:pPr>
    </w:p>
    <w:p w14:paraId="00000015" w14:textId="77777777" w:rsidR="004F5D47" w:rsidRDefault="004F5D47">
      <w:pPr>
        <w:spacing w:after="0" w:line="240" w:lineRule="auto"/>
        <w:jc w:val="center"/>
        <w:rPr>
          <w:rFonts w:ascii="Arial" w:eastAsia="Arial" w:hAnsi="Arial" w:cs="Arial"/>
          <w:b/>
          <w:bCs/>
          <w:color w:val="E4032E"/>
          <w:sz w:val="28"/>
          <w:szCs w:val="28"/>
        </w:rPr>
      </w:pPr>
    </w:p>
    <w:p w14:paraId="00000016" w14:textId="77777777" w:rsidR="004F5D47" w:rsidRDefault="004F5D47">
      <w:pPr>
        <w:spacing w:after="0" w:line="240" w:lineRule="auto"/>
        <w:jc w:val="center"/>
        <w:rPr>
          <w:rFonts w:ascii="Arial" w:eastAsia="Arial" w:hAnsi="Arial" w:cs="Arial"/>
          <w:b/>
          <w:bCs/>
          <w:color w:val="E4032E"/>
          <w:sz w:val="28"/>
          <w:szCs w:val="28"/>
        </w:rPr>
      </w:pPr>
    </w:p>
    <w:p w14:paraId="00000017" w14:textId="77777777" w:rsidR="004F5D47" w:rsidRDefault="00000000">
      <w:pPr>
        <w:spacing w:after="0" w:line="240" w:lineRule="auto"/>
        <w:jc w:val="center"/>
        <w:rPr>
          <w:rFonts w:ascii="Arial" w:eastAsia="Arial" w:hAnsi="Arial" w:cs="Arial"/>
          <w:b/>
          <w:bCs/>
          <w:color w:val="E4032E"/>
          <w:sz w:val="28"/>
          <w:szCs w:val="28"/>
        </w:rPr>
      </w:pPr>
      <w:r>
        <w:rPr>
          <w:rFonts w:ascii="Arial" w:eastAsia="Arial" w:hAnsi="Arial" w:cs="Arial"/>
          <w:b/>
          <w:bCs/>
          <w:color w:val="E4032E"/>
          <w:sz w:val="28"/>
          <w:szCs w:val="28"/>
        </w:rPr>
        <w:t>Elaborado por:</w:t>
      </w:r>
    </w:p>
    <w:p w14:paraId="00000018" w14:textId="77777777" w:rsidR="004F5D47" w:rsidRDefault="004F5D47">
      <w:pPr>
        <w:spacing w:after="0" w:line="240" w:lineRule="auto"/>
        <w:jc w:val="center"/>
        <w:rPr>
          <w:rFonts w:ascii="Arial" w:eastAsia="Arial" w:hAnsi="Arial" w:cs="Arial"/>
          <w:b/>
          <w:bCs/>
          <w:color w:val="E4032E"/>
          <w:sz w:val="28"/>
          <w:szCs w:val="28"/>
        </w:rPr>
      </w:pPr>
    </w:p>
    <w:p w14:paraId="00000019" w14:textId="77777777" w:rsidR="004F5D47" w:rsidRDefault="00000000">
      <w:pPr>
        <w:spacing w:after="0" w:line="240" w:lineRule="auto"/>
        <w:jc w:val="center"/>
        <w:rPr>
          <w:rFonts w:ascii="Arial" w:eastAsia="Arial" w:hAnsi="Arial" w:cs="Arial"/>
          <w:b/>
          <w:bCs/>
          <w:color w:val="E4032E"/>
          <w:sz w:val="28"/>
          <w:szCs w:val="28"/>
        </w:rPr>
      </w:pPr>
      <w:r>
        <w:rPr>
          <w:rFonts w:ascii="Arial" w:eastAsia="Arial" w:hAnsi="Arial" w:cs="Arial"/>
          <w:b/>
          <w:bCs/>
          <w:color w:val="E4032E"/>
          <w:sz w:val="28"/>
          <w:szCs w:val="28"/>
        </w:rPr>
        <w:t>Secretaría de Distrital de Ambiente</w:t>
      </w:r>
    </w:p>
    <w:p w14:paraId="0000001A" w14:textId="77777777" w:rsidR="004F5D47" w:rsidRDefault="004F5D47">
      <w:pPr>
        <w:spacing w:after="0" w:line="240" w:lineRule="auto"/>
        <w:jc w:val="center"/>
        <w:rPr>
          <w:rFonts w:ascii="Arial" w:eastAsia="Arial" w:hAnsi="Arial" w:cs="Arial"/>
          <w:b/>
          <w:bCs/>
          <w:color w:val="E4032E"/>
          <w:sz w:val="28"/>
          <w:szCs w:val="28"/>
        </w:rPr>
      </w:pPr>
    </w:p>
    <w:p w14:paraId="0000001B" w14:textId="77777777" w:rsidR="004F5D47" w:rsidRDefault="00000000">
      <w:pPr>
        <w:spacing w:after="0" w:line="240" w:lineRule="auto"/>
        <w:jc w:val="center"/>
        <w:rPr>
          <w:rFonts w:ascii="Arial" w:eastAsia="Arial" w:hAnsi="Arial" w:cs="Arial"/>
          <w:b/>
          <w:bCs/>
          <w:color w:val="E4032E"/>
          <w:sz w:val="28"/>
          <w:szCs w:val="28"/>
        </w:rPr>
      </w:pPr>
      <w:r>
        <w:rPr>
          <w:rFonts w:ascii="Arial" w:eastAsia="Arial" w:hAnsi="Arial" w:cs="Arial"/>
          <w:b/>
          <w:bCs/>
          <w:color w:val="E4032E"/>
          <w:sz w:val="28"/>
          <w:szCs w:val="28"/>
        </w:rPr>
        <w:t>Secretaría Distrital de Salud</w:t>
      </w:r>
    </w:p>
    <w:p w14:paraId="0000001C" w14:textId="77777777" w:rsidR="004F5D47" w:rsidRDefault="004F5D47">
      <w:pPr>
        <w:spacing w:after="0" w:line="240" w:lineRule="auto"/>
        <w:jc w:val="center"/>
        <w:rPr>
          <w:rFonts w:ascii="Arial" w:eastAsia="Arial" w:hAnsi="Arial" w:cs="Arial"/>
          <w:b/>
          <w:bCs/>
          <w:color w:val="E4032E"/>
          <w:sz w:val="28"/>
          <w:szCs w:val="28"/>
        </w:rPr>
      </w:pPr>
    </w:p>
    <w:p w14:paraId="0000001D" w14:textId="77777777" w:rsidR="004F5D47" w:rsidRDefault="004F5D47">
      <w:pPr>
        <w:spacing w:after="0" w:line="240" w:lineRule="auto"/>
        <w:jc w:val="center"/>
        <w:rPr>
          <w:rFonts w:ascii="Arial" w:eastAsia="Arial" w:hAnsi="Arial" w:cs="Arial"/>
          <w:b/>
          <w:bCs/>
          <w:color w:val="E4032E"/>
          <w:sz w:val="28"/>
          <w:szCs w:val="28"/>
        </w:rPr>
      </w:pPr>
    </w:p>
    <w:p w14:paraId="0000001E" w14:textId="77777777" w:rsidR="004F5D47" w:rsidRDefault="004F5D47">
      <w:pPr>
        <w:spacing w:after="0" w:line="240" w:lineRule="auto"/>
        <w:jc w:val="center"/>
        <w:rPr>
          <w:rFonts w:ascii="Arial" w:eastAsia="Arial" w:hAnsi="Arial" w:cs="Arial"/>
          <w:b/>
          <w:bCs/>
          <w:color w:val="E4032E"/>
          <w:sz w:val="28"/>
          <w:szCs w:val="28"/>
        </w:rPr>
      </w:pPr>
    </w:p>
    <w:p w14:paraId="0000001F" w14:textId="77777777" w:rsidR="004F5D47" w:rsidRDefault="00000000">
      <w:pPr>
        <w:spacing w:after="0" w:line="240" w:lineRule="auto"/>
        <w:jc w:val="center"/>
        <w:rPr>
          <w:rFonts w:ascii="Arial" w:eastAsia="Arial" w:hAnsi="Arial" w:cs="Arial"/>
          <w:b/>
          <w:bCs/>
          <w:color w:val="E4032E"/>
          <w:sz w:val="28"/>
          <w:szCs w:val="28"/>
        </w:rPr>
      </w:pPr>
      <w:r>
        <w:rPr>
          <w:rFonts w:ascii="Arial" w:eastAsia="Arial" w:hAnsi="Arial" w:cs="Arial"/>
          <w:b/>
          <w:bCs/>
          <w:color w:val="E4032E"/>
          <w:sz w:val="28"/>
          <w:szCs w:val="28"/>
        </w:rPr>
        <w:t>Vigencia 2025</w:t>
      </w:r>
    </w:p>
    <w:p w14:paraId="00000020" w14:textId="77777777" w:rsidR="004F5D47" w:rsidRDefault="004F5D47">
      <w:pPr>
        <w:spacing w:after="0" w:line="240" w:lineRule="auto"/>
        <w:jc w:val="center"/>
        <w:rPr>
          <w:rFonts w:ascii="Arial" w:eastAsia="Arial" w:hAnsi="Arial" w:cs="Arial"/>
          <w:b/>
          <w:bCs/>
          <w:color w:val="E4032E"/>
          <w:sz w:val="18"/>
          <w:szCs w:val="18"/>
        </w:rPr>
      </w:pPr>
    </w:p>
    <w:p w14:paraId="00000021" w14:textId="77777777" w:rsidR="004F5D47" w:rsidRDefault="00000000">
      <w:pPr>
        <w:rPr>
          <w:rFonts w:ascii="Arial" w:eastAsia="Arial" w:hAnsi="Arial" w:cs="Arial"/>
          <w:b/>
          <w:bCs/>
          <w:color w:val="E4032E"/>
          <w:sz w:val="18"/>
          <w:szCs w:val="18"/>
        </w:rPr>
      </w:pPr>
      <w:r>
        <w:br w:type="page"/>
      </w:r>
    </w:p>
    <w:p w14:paraId="00000022" w14:textId="77777777" w:rsidR="004F5D47" w:rsidRDefault="004F5D47">
      <w:pPr>
        <w:spacing w:after="0" w:line="240" w:lineRule="auto"/>
        <w:jc w:val="center"/>
        <w:rPr>
          <w:rFonts w:ascii="Arial" w:eastAsia="Arial" w:hAnsi="Arial" w:cs="Arial"/>
          <w:b/>
          <w:bCs/>
          <w:color w:val="E4032E"/>
        </w:rPr>
      </w:pPr>
    </w:p>
    <w:p w14:paraId="00000023" w14:textId="77777777" w:rsidR="004F5D47" w:rsidRDefault="00000000">
      <w:pPr>
        <w:spacing w:after="0" w:line="240" w:lineRule="auto"/>
        <w:jc w:val="center"/>
        <w:rPr>
          <w:rFonts w:ascii="Arial" w:eastAsia="Arial" w:hAnsi="Arial" w:cs="Arial"/>
          <w:b/>
          <w:bCs/>
        </w:rPr>
      </w:pPr>
      <w:r>
        <w:rPr>
          <w:rFonts w:ascii="Arial" w:eastAsia="Arial" w:hAnsi="Arial" w:cs="Arial"/>
          <w:b/>
          <w:bCs/>
        </w:rPr>
        <w:t>Contenido</w:t>
      </w:r>
    </w:p>
    <w:p w14:paraId="00000024" w14:textId="77777777" w:rsidR="004F5D47" w:rsidRDefault="004F5D47">
      <w:pPr>
        <w:spacing w:after="0" w:line="240" w:lineRule="auto"/>
        <w:jc w:val="center"/>
        <w:rPr>
          <w:rFonts w:ascii="Arial" w:eastAsia="Arial" w:hAnsi="Arial" w:cs="Arial"/>
          <w:b/>
          <w:bCs/>
        </w:rPr>
      </w:pPr>
    </w:p>
    <w:p w14:paraId="00000025" w14:textId="77777777" w:rsidR="004F5D47" w:rsidRDefault="00000000">
      <w:pPr>
        <w:keepNext/>
        <w:keepLines/>
        <w:pBdr>
          <w:top w:val="nil"/>
          <w:left w:val="nil"/>
          <w:bottom w:val="nil"/>
          <w:right w:val="nil"/>
          <w:between w:val="nil"/>
        </w:pBdr>
        <w:spacing w:before="240" w:after="0"/>
        <w:rPr>
          <w:color w:val="2E75B5"/>
        </w:rPr>
      </w:pPr>
      <w:r>
        <w:rPr>
          <w:color w:val="2E75B5"/>
        </w:rPr>
        <w:t>Contenido</w:t>
      </w:r>
    </w:p>
    <w:sdt>
      <w:sdtPr>
        <w:id w:val="1435737307"/>
        <w:docPartObj>
          <w:docPartGallery w:val="Table of Contents"/>
          <w:docPartUnique/>
        </w:docPartObj>
      </w:sdtPr>
      <w:sdtContent>
        <w:p w14:paraId="00000026" w14:textId="77777777" w:rsidR="004F5D47" w:rsidRDefault="00000000">
          <w:pPr>
            <w:pBdr>
              <w:top w:val="nil"/>
              <w:left w:val="nil"/>
              <w:bottom w:val="nil"/>
              <w:right w:val="nil"/>
              <w:between w:val="nil"/>
            </w:pBdr>
            <w:tabs>
              <w:tab w:val="right" w:pos="8828"/>
            </w:tabs>
            <w:spacing w:after="100"/>
            <w:rPr>
              <w:rFonts w:ascii="Arial" w:eastAsia="Arial" w:hAnsi="Arial" w:cs="Arial"/>
              <w:color w:val="000000"/>
            </w:rPr>
          </w:pPr>
          <w:r>
            <w:fldChar w:fldCharType="begin"/>
          </w:r>
          <w:r>
            <w:instrText xml:space="preserve"> TOC \h \u \z \t "Heading 1,1,Heading 2,2,Heading 3,3,"</w:instrText>
          </w:r>
          <w:r>
            <w:fldChar w:fldCharType="separate"/>
          </w:r>
          <w:hyperlink w:anchor="_heading=h.3dy6vkm">
            <w:r>
              <w:rPr>
                <w:rFonts w:ascii="Arial" w:eastAsia="Arial" w:hAnsi="Arial" w:cs="Arial"/>
                <w:color w:val="000000"/>
              </w:rPr>
              <w:t>1. Introducción</w:t>
            </w:r>
            <w:r>
              <w:rPr>
                <w:rFonts w:ascii="Arial" w:eastAsia="Arial" w:hAnsi="Arial" w:cs="Arial"/>
                <w:color w:val="000000"/>
              </w:rPr>
              <w:tab/>
              <w:t>3</w:t>
            </w:r>
          </w:hyperlink>
        </w:p>
        <w:p w14:paraId="00000027" w14:textId="77777777" w:rsidR="004F5D47" w:rsidRDefault="00000000">
          <w:pPr>
            <w:pBdr>
              <w:top w:val="nil"/>
              <w:left w:val="nil"/>
              <w:bottom w:val="nil"/>
              <w:right w:val="nil"/>
              <w:between w:val="nil"/>
            </w:pBdr>
            <w:tabs>
              <w:tab w:val="right" w:pos="8828"/>
            </w:tabs>
            <w:spacing w:after="100"/>
            <w:rPr>
              <w:rFonts w:ascii="Arial" w:eastAsia="Arial" w:hAnsi="Arial" w:cs="Arial"/>
              <w:color w:val="000000"/>
            </w:rPr>
          </w:pPr>
          <w:hyperlink w:anchor="_heading=h.1t3h5sf">
            <w:r>
              <w:rPr>
                <w:rFonts w:ascii="Arial" w:eastAsia="Arial" w:hAnsi="Arial" w:cs="Arial"/>
                <w:color w:val="000000"/>
              </w:rPr>
              <w:t>2. Desarrollo del articulado del acuerdo 802 de 2021</w:t>
            </w:r>
            <w:r>
              <w:rPr>
                <w:rFonts w:ascii="Arial" w:eastAsia="Arial" w:hAnsi="Arial" w:cs="Arial"/>
                <w:color w:val="000000"/>
              </w:rPr>
              <w:tab/>
              <w:t>3</w:t>
            </w:r>
          </w:hyperlink>
        </w:p>
        <w:p w14:paraId="00000028" w14:textId="77777777" w:rsidR="004F5D47" w:rsidRDefault="00000000">
          <w:pPr>
            <w:pBdr>
              <w:top w:val="nil"/>
              <w:left w:val="nil"/>
              <w:bottom w:val="nil"/>
              <w:right w:val="nil"/>
              <w:between w:val="nil"/>
            </w:pBdr>
            <w:tabs>
              <w:tab w:val="right" w:pos="8828"/>
            </w:tabs>
            <w:spacing w:after="100"/>
            <w:rPr>
              <w:rFonts w:ascii="Arial" w:eastAsia="Arial" w:hAnsi="Arial" w:cs="Arial"/>
              <w:color w:val="000000"/>
            </w:rPr>
          </w:pPr>
          <w:hyperlink w:anchor="_heading=h.4d34og8">
            <w:r>
              <w:rPr>
                <w:rFonts w:ascii="Arial" w:eastAsia="Arial" w:hAnsi="Arial" w:cs="Arial"/>
                <w:color w:val="000000"/>
              </w:rPr>
              <w:t xml:space="preserve">3. Metodología para la evaluación y ajuste periódico del índice Bogotano de Calidad del Aire y Riesgo en Salud </w:t>
            </w:r>
          </w:hyperlink>
          <w:hyperlink w:anchor="_heading=h.26in1rg">
            <w:r>
              <w:rPr>
                <w:rFonts w:ascii="Arial" w:eastAsia="Arial" w:hAnsi="Arial" w:cs="Arial"/>
              </w:rPr>
              <w:t>—IBOCA—</w:t>
            </w:r>
          </w:hyperlink>
          <w:hyperlink w:anchor="_heading=h.4d34og8">
            <w:r>
              <w:rPr>
                <w:rFonts w:ascii="Arial" w:eastAsia="Arial" w:hAnsi="Arial" w:cs="Arial"/>
                <w:color w:val="000000"/>
              </w:rPr>
              <w:tab/>
              <w:t>4</w:t>
            </w:r>
          </w:hyperlink>
        </w:p>
        <w:p w14:paraId="00000029" w14:textId="77777777" w:rsidR="004F5D47" w:rsidRDefault="00000000">
          <w:pPr>
            <w:pBdr>
              <w:top w:val="nil"/>
              <w:left w:val="nil"/>
              <w:bottom w:val="nil"/>
              <w:right w:val="nil"/>
              <w:between w:val="nil"/>
            </w:pBdr>
            <w:tabs>
              <w:tab w:val="right" w:pos="8828"/>
            </w:tabs>
            <w:spacing w:after="100"/>
            <w:rPr>
              <w:rFonts w:ascii="Arial" w:eastAsia="Arial" w:hAnsi="Arial" w:cs="Arial"/>
              <w:color w:val="000000"/>
            </w:rPr>
          </w:pPr>
          <w:hyperlink w:anchor="_heading=h.2s8eyo1">
            <w:r>
              <w:rPr>
                <w:rFonts w:ascii="Arial" w:eastAsia="Arial" w:hAnsi="Arial" w:cs="Arial"/>
                <w:color w:val="000000"/>
              </w:rPr>
              <w:t>3.1 Actualización del Índice Bogotano de Calidad del Aire y Riesgo en Salud – Resolución Conjunta 2840 de 2023.</w:t>
            </w:r>
            <w:r>
              <w:rPr>
                <w:rFonts w:ascii="Arial" w:eastAsia="Arial" w:hAnsi="Arial" w:cs="Arial"/>
                <w:color w:val="000000"/>
              </w:rPr>
              <w:tab/>
              <w:t>4</w:t>
            </w:r>
          </w:hyperlink>
        </w:p>
        <w:p w14:paraId="0000002A" w14:textId="77777777" w:rsidR="004F5D47" w:rsidRDefault="00000000">
          <w:pPr>
            <w:pBdr>
              <w:top w:val="nil"/>
              <w:left w:val="nil"/>
              <w:bottom w:val="nil"/>
              <w:right w:val="nil"/>
              <w:between w:val="nil"/>
            </w:pBdr>
            <w:tabs>
              <w:tab w:val="right" w:pos="8828"/>
            </w:tabs>
            <w:spacing w:after="100"/>
            <w:rPr>
              <w:rFonts w:ascii="Arial" w:eastAsia="Arial" w:hAnsi="Arial" w:cs="Arial"/>
              <w:color w:val="000000"/>
            </w:rPr>
          </w:pPr>
          <w:hyperlink w:anchor="_heading=h.26in1rg">
            <w:r>
              <w:rPr>
                <w:rFonts w:ascii="Arial" w:eastAsia="Arial" w:hAnsi="Arial" w:cs="Arial"/>
                <w:color w:val="000000"/>
              </w:rPr>
              <w:t>4. Estrategia pedagógica y de comunicación del Índice Bogotano de Calidad del Aire y Riesgo en Salud —IBOCA—</w:t>
            </w:r>
            <w:r>
              <w:rPr>
                <w:rFonts w:ascii="Arial" w:eastAsia="Arial" w:hAnsi="Arial" w:cs="Arial"/>
                <w:color w:val="000000"/>
              </w:rPr>
              <w:tab/>
              <w:t>14</w:t>
            </w:r>
          </w:hyperlink>
        </w:p>
        <w:p w14:paraId="0000002B" w14:textId="77777777" w:rsidR="004F5D47" w:rsidRDefault="00000000">
          <w:pPr>
            <w:pBdr>
              <w:top w:val="nil"/>
              <w:left w:val="nil"/>
              <w:bottom w:val="nil"/>
              <w:right w:val="nil"/>
              <w:between w:val="nil"/>
            </w:pBdr>
            <w:tabs>
              <w:tab w:val="right" w:pos="8828"/>
            </w:tabs>
            <w:spacing w:after="100"/>
            <w:rPr>
              <w:rFonts w:ascii="Arial" w:eastAsia="Arial" w:hAnsi="Arial" w:cs="Arial"/>
              <w:color w:val="000000"/>
            </w:rPr>
          </w:pPr>
          <w:hyperlink w:anchor="_heading=h.lnxbz9">
            <w:r>
              <w:rPr>
                <w:rFonts w:ascii="Arial" w:eastAsia="Arial" w:hAnsi="Arial" w:cs="Arial"/>
                <w:color w:val="000000"/>
              </w:rPr>
              <w:t>5. Monitoreo de calidad del aire en Bogotá</w:t>
            </w:r>
            <w:r>
              <w:rPr>
                <w:rFonts w:ascii="Arial" w:eastAsia="Arial" w:hAnsi="Arial" w:cs="Arial"/>
                <w:color w:val="000000"/>
              </w:rPr>
              <w:tab/>
              <w:t>14</w:t>
            </w:r>
          </w:hyperlink>
        </w:p>
        <w:p w14:paraId="0000002C" w14:textId="77777777" w:rsidR="004F5D47" w:rsidRDefault="00000000">
          <w:pPr>
            <w:pBdr>
              <w:top w:val="nil"/>
              <w:left w:val="nil"/>
              <w:bottom w:val="nil"/>
              <w:right w:val="nil"/>
              <w:between w:val="nil"/>
            </w:pBdr>
            <w:tabs>
              <w:tab w:val="right" w:pos="8828"/>
            </w:tabs>
            <w:spacing w:after="100"/>
            <w:rPr>
              <w:color w:val="000000"/>
            </w:rPr>
          </w:pPr>
          <w:hyperlink w:anchor="_heading=h.35nkun2">
            <w:r>
              <w:rPr>
                <w:rFonts w:ascii="Arial" w:eastAsia="Arial" w:hAnsi="Arial" w:cs="Arial"/>
                <w:color w:val="000000"/>
              </w:rPr>
              <w:t>6. Consolidado de las denuncias ciudadanas sobre las situaciones que afectan la calidad del aire de la ciudad</w:t>
            </w:r>
          </w:hyperlink>
          <w:hyperlink w:anchor="_heading=h.35nkun2">
            <w:r>
              <w:rPr>
                <w:color w:val="000000"/>
              </w:rPr>
              <w:tab/>
              <w:t>14</w:t>
            </w:r>
          </w:hyperlink>
        </w:p>
        <w:p w14:paraId="0000002D" w14:textId="77777777" w:rsidR="004F5D47" w:rsidRDefault="00000000">
          <w:r>
            <w:fldChar w:fldCharType="end"/>
          </w:r>
        </w:p>
      </w:sdtContent>
    </w:sdt>
    <w:p w14:paraId="0000002E" w14:textId="77777777" w:rsidR="004F5D47" w:rsidRDefault="004F5D47">
      <w:pPr>
        <w:spacing w:after="0" w:line="240" w:lineRule="auto"/>
        <w:jc w:val="center"/>
        <w:rPr>
          <w:rFonts w:ascii="Arial" w:eastAsia="Arial" w:hAnsi="Arial" w:cs="Arial"/>
          <w:b/>
          <w:bCs/>
        </w:rPr>
      </w:pPr>
    </w:p>
    <w:p w14:paraId="0000002F" w14:textId="77777777" w:rsidR="004F5D47" w:rsidRDefault="00000000">
      <w:pPr>
        <w:rPr>
          <w:rFonts w:ascii="Arial" w:eastAsia="Arial" w:hAnsi="Arial" w:cs="Arial"/>
          <w:b/>
          <w:bCs/>
        </w:rPr>
      </w:pPr>
      <w:r>
        <w:br w:type="page"/>
      </w:r>
    </w:p>
    <w:p w14:paraId="00000030" w14:textId="77777777" w:rsidR="004F5D47" w:rsidRDefault="00000000">
      <w:pPr>
        <w:jc w:val="center"/>
        <w:rPr>
          <w:rFonts w:ascii="Arial" w:eastAsia="Arial" w:hAnsi="Arial" w:cs="Arial"/>
          <w:b/>
          <w:bCs/>
        </w:rPr>
      </w:pPr>
      <w:r>
        <w:rPr>
          <w:rFonts w:ascii="Arial" w:eastAsia="Arial" w:hAnsi="Arial" w:cs="Arial"/>
          <w:b/>
          <w:bCs/>
        </w:rPr>
        <w:lastRenderedPageBreak/>
        <w:t>Listado de siglas y acrónimos</w:t>
      </w:r>
    </w:p>
    <w:p w14:paraId="00000031" w14:textId="77777777" w:rsidR="004F5D47" w:rsidRDefault="004F5D47">
      <w:pPr>
        <w:rPr>
          <w:rFonts w:ascii="Arial" w:eastAsia="Arial" w:hAnsi="Arial" w:cs="Arial"/>
          <w:b/>
          <w:bCs/>
        </w:rPr>
      </w:pPr>
    </w:p>
    <w:p w14:paraId="00000032" w14:textId="77777777" w:rsidR="004F5D47" w:rsidRDefault="00000000">
      <w:pPr>
        <w:rPr>
          <w:rFonts w:ascii="Arial" w:eastAsia="Arial" w:hAnsi="Arial" w:cs="Arial"/>
        </w:rPr>
      </w:pPr>
      <w:r>
        <w:rPr>
          <w:rFonts w:ascii="Arial" w:eastAsia="Arial" w:hAnsi="Arial" w:cs="Arial"/>
          <w:b/>
          <w:bCs/>
        </w:rPr>
        <w:t>BC</w:t>
      </w:r>
      <w:r>
        <w:rPr>
          <w:rFonts w:ascii="Arial" w:eastAsia="Arial" w:hAnsi="Arial" w:cs="Arial"/>
        </w:rPr>
        <w:t>: Black Carbon</w:t>
      </w:r>
    </w:p>
    <w:p w14:paraId="00000033" w14:textId="77777777" w:rsidR="004F5D47" w:rsidRDefault="00000000">
      <w:pPr>
        <w:rPr>
          <w:rFonts w:ascii="Arial" w:eastAsia="Arial" w:hAnsi="Arial" w:cs="Arial"/>
        </w:rPr>
      </w:pPr>
      <w:r>
        <w:rPr>
          <w:rFonts w:ascii="Arial" w:eastAsia="Arial" w:hAnsi="Arial" w:cs="Arial"/>
          <w:b/>
          <w:bCs/>
        </w:rPr>
        <w:t xml:space="preserve">EIS: </w:t>
      </w:r>
      <w:r>
        <w:rPr>
          <w:rFonts w:ascii="Arial" w:eastAsia="Arial" w:hAnsi="Arial" w:cs="Arial"/>
        </w:rPr>
        <w:t>Evaluación de Impacto en Salud</w:t>
      </w:r>
    </w:p>
    <w:p w14:paraId="00000034" w14:textId="77777777" w:rsidR="004F5D47" w:rsidRDefault="00000000">
      <w:pPr>
        <w:rPr>
          <w:rFonts w:ascii="Arial" w:eastAsia="Arial" w:hAnsi="Arial" w:cs="Arial"/>
        </w:rPr>
      </w:pPr>
      <w:r>
        <w:rPr>
          <w:rFonts w:ascii="Arial" w:eastAsia="Arial" w:hAnsi="Arial" w:cs="Arial"/>
          <w:b/>
          <w:bCs/>
        </w:rPr>
        <w:t>EPA:</w:t>
      </w:r>
      <w:r>
        <w:rPr>
          <w:rFonts w:ascii="Arial" w:eastAsia="Arial" w:hAnsi="Arial" w:cs="Arial"/>
        </w:rPr>
        <w:t xml:space="preserve"> Environmental Protection Agency</w:t>
      </w:r>
    </w:p>
    <w:p w14:paraId="00000035" w14:textId="77777777" w:rsidR="004F5D47" w:rsidRDefault="00000000">
      <w:pPr>
        <w:rPr>
          <w:rFonts w:ascii="Arial" w:eastAsia="Arial" w:hAnsi="Arial" w:cs="Arial"/>
        </w:rPr>
      </w:pPr>
      <w:r>
        <w:rPr>
          <w:rFonts w:ascii="Arial" w:eastAsia="Arial" w:hAnsi="Arial" w:cs="Arial"/>
          <w:b/>
          <w:bCs/>
        </w:rPr>
        <w:t xml:space="preserve">CIE: </w:t>
      </w:r>
      <w:r>
        <w:rPr>
          <w:rFonts w:ascii="Arial" w:eastAsia="Arial" w:hAnsi="Arial" w:cs="Arial"/>
        </w:rPr>
        <w:t>Clasificación Internacional de Enfermedades</w:t>
      </w:r>
    </w:p>
    <w:p w14:paraId="00000036" w14:textId="77777777" w:rsidR="004F5D47" w:rsidRDefault="00000000">
      <w:pPr>
        <w:rPr>
          <w:rFonts w:ascii="Arial" w:eastAsia="Arial" w:hAnsi="Arial" w:cs="Arial"/>
        </w:rPr>
      </w:pPr>
      <w:r>
        <w:rPr>
          <w:rFonts w:ascii="Arial" w:eastAsia="Arial" w:hAnsi="Arial" w:cs="Arial"/>
          <w:b/>
          <w:bCs/>
        </w:rPr>
        <w:t xml:space="preserve">CO: </w:t>
      </w:r>
      <w:r>
        <w:rPr>
          <w:rFonts w:ascii="Arial" w:eastAsia="Arial" w:hAnsi="Arial" w:cs="Arial"/>
        </w:rPr>
        <w:t>Monóxido de carbono</w:t>
      </w:r>
    </w:p>
    <w:p w14:paraId="00000037" w14:textId="77777777" w:rsidR="004F5D47" w:rsidRDefault="00000000">
      <w:pPr>
        <w:rPr>
          <w:rFonts w:ascii="Arial" w:eastAsia="Arial" w:hAnsi="Arial" w:cs="Arial"/>
        </w:rPr>
      </w:pPr>
      <w:r>
        <w:rPr>
          <w:rFonts w:ascii="Arial" w:eastAsia="Arial" w:hAnsi="Arial" w:cs="Arial"/>
          <w:b/>
          <w:bCs/>
        </w:rPr>
        <w:t xml:space="preserve">EPCI: </w:t>
      </w:r>
      <w:r>
        <w:rPr>
          <w:rFonts w:ascii="Arial" w:eastAsia="Arial" w:hAnsi="Arial" w:cs="Arial"/>
        </w:rPr>
        <w:t>Estrategia Comunicativa y Pedagógica del IBOCA</w:t>
      </w:r>
    </w:p>
    <w:p w14:paraId="00000038" w14:textId="77777777" w:rsidR="004F5D47" w:rsidRDefault="00000000">
      <w:pPr>
        <w:rPr>
          <w:rFonts w:ascii="Arial" w:eastAsia="Arial" w:hAnsi="Arial" w:cs="Arial"/>
        </w:rPr>
      </w:pPr>
      <w:r>
        <w:rPr>
          <w:rFonts w:ascii="Arial" w:eastAsia="Arial" w:hAnsi="Arial" w:cs="Arial"/>
          <w:b/>
          <w:bCs/>
        </w:rPr>
        <w:t xml:space="preserve">ER: </w:t>
      </w:r>
      <w:r>
        <w:rPr>
          <w:rFonts w:ascii="Arial" w:eastAsia="Arial" w:hAnsi="Arial" w:cs="Arial"/>
        </w:rPr>
        <w:t>Exceso de riesgo</w:t>
      </w:r>
    </w:p>
    <w:p w14:paraId="00000039" w14:textId="77777777" w:rsidR="004F5D47" w:rsidRDefault="00000000">
      <w:pPr>
        <w:rPr>
          <w:rFonts w:ascii="Arial" w:eastAsia="Arial" w:hAnsi="Arial" w:cs="Arial"/>
        </w:rPr>
      </w:pPr>
      <w:r>
        <w:rPr>
          <w:rFonts w:ascii="Arial" w:eastAsia="Arial" w:hAnsi="Arial" w:cs="Arial"/>
          <w:b/>
          <w:bCs/>
        </w:rPr>
        <w:t xml:space="preserve">GCA: </w:t>
      </w:r>
      <w:r>
        <w:rPr>
          <w:rFonts w:ascii="Arial" w:eastAsia="Arial" w:hAnsi="Arial" w:cs="Arial"/>
        </w:rPr>
        <w:t>Guías de Calidad del Aire</w:t>
      </w:r>
    </w:p>
    <w:p w14:paraId="0000003A" w14:textId="77777777" w:rsidR="004F5D47" w:rsidRDefault="00000000">
      <w:pPr>
        <w:rPr>
          <w:rFonts w:ascii="Arial" w:eastAsia="Arial" w:hAnsi="Arial" w:cs="Arial"/>
        </w:rPr>
      </w:pPr>
      <w:r>
        <w:rPr>
          <w:rFonts w:ascii="Arial" w:eastAsia="Arial" w:hAnsi="Arial" w:cs="Arial"/>
          <w:b/>
          <w:bCs/>
        </w:rPr>
        <w:t xml:space="preserve">IBOCA: </w:t>
      </w:r>
      <w:r>
        <w:rPr>
          <w:rFonts w:ascii="Arial" w:eastAsia="Arial" w:hAnsi="Arial" w:cs="Arial"/>
        </w:rPr>
        <w:t>Índice Bogotano de Calidad del Aire y Gestión del Riesgo en Salud</w:t>
      </w:r>
    </w:p>
    <w:p w14:paraId="0000003B" w14:textId="77777777" w:rsidR="004F5D47" w:rsidRDefault="00000000">
      <w:pPr>
        <w:rPr>
          <w:rFonts w:ascii="Arial" w:eastAsia="Arial" w:hAnsi="Arial" w:cs="Arial"/>
        </w:rPr>
      </w:pPr>
      <w:r>
        <w:rPr>
          <w:rFonts w:ascii="Arial" w:eastAsia="Arial" w:hAnsi="Arial" w:cs="Arial"/>
          <w:b/>
          <w:bCs/>
        </w:rPr>
        <w:t xml:space="preserve">IC: </w:t>
      </w:r>
      <w:r>
        <w:rPr>
          <w:rFonts w:ascii="Arial" w:eastAsia="Arial" w:hAnsi="Arial" w:cs="Arial"/>
        </w:rPr>
        <w:t>Intervalos de confianza</w:t>
      </w:r>
    </w:p>
    <w:p w14:paraId="0000003C" w14:textId="77777777" w:rsidR="004F5D47" w:rsidRDefault="00000000">
      <w:pPr>
        <w:rPr>
          <w:rFonts w:ascii="Arial" w:eastAsia="Arial" w:hAnsi="Arial" w:cs="Arial"/>
        </w:rPr>
      </w:pPr>
      <w:r>
        <w:rPr>
          <w:rFonts w:ascii="Arial" w:eastAsia="Arial" w:hAnsi="Arial" w:cs="Arial"/>
          <w:b/>
          <w:bCs/>
        </w:rPr>
        <w:t>PM:</w:t>
      </w:r>
      <w:r>
        <w:rPr>
          <w:rFonts w:ascii="Arial" w:eastAsia="Arial" w:hAnsi="Arial" w:cs="Arial"/>
        </w:rPr>
        <w:t xml:space="preserve"> material particulado</w:t>
      </w:r>
    </w:p>
    <w:p w14:paraId="0000003D" w14:textId="77777777" w:rsidR="004F5D47" w:rsidRDefault="00000000">
      <w:pPr>
        <w:spacing w:before="240" w:after="240"/>
        <w:rPr>
          <w:rFonts w:ascii="Arial" w:eastAsia="Arial" w:hAnsi="Arial" w:cs="Arial"/>
          <w:vertAlign w:val="superscript"/>
        </w:rPr>
      </w:pPr>
      <w:r>
        <w:rPr>
          <w:rFonts w:ascii="Arial" w:eastAsia="Arial" w:hAnsi="Arial" w:cs="Arial"/>
          <w:b/>
          <w:bCs/>
        </w:rPr>
        <w:t>PM</w:t>
      </w:r>
      <w:r>
        <w:rPr>
          <w:rFonts w:ascii="Arial" w:eastAsia="Arial" w:hAnsi="Arial" w:cs="Arial"/>
          <w:b/>
          <w:bCs/>
          <w:vertAlign w:val="subscript"/>
        </w:rPr>
        <w:t>2,5</w:t>
      </w:r>
      <w:r>
        <w:rPr>
          <w:rFonts w:ascii="Arial" w:eastAsia="Arial" w:hAnsi="Arial" w:cs="Arial"/>
          <w:b/>
          <w:bCs/>
        </w:rPr>
        <w:t xml:space="preserve">: </w:t>
      </w:r>
      <w:r>
        <w:rPr>
          <w:rFonts w:ascii="Arial" w:eastAsia="Arial" w:hAnsi="Arial" w:cs="Arial"/>
        </w:rPr>
        <w:t>material particulado de 2,5 µg/m</w:t>
      </w:r>
      <w:r>
        <w:rPr>
          <w:rFonts w:ascii="Arial" w:eastAsia="Arial" w:hAnsi="Arial" w:cs="Arial"/>
          <w:vertAlign w:val="superscript"/>
        </w:rPr>
        <w:t>3</w:t>
      </w:r>
    </w:p>
    <w:p w14:paraId="0000003E" w14:textId="77777777" w:rsidR="004F5D47" w:rsidRDefault="00000000">
      <w:pPr>
        <w:spacing w:before="240" w:after="240"/>
        <w:rPr>
          <w:rFonts w:ascii="Arial" w:eastAsia="Arial" w:hAnsi="Arial" w:cs="Arial"/>
          <w:vertAlign w:val="superscript"/>
        </w:rPr>
      </w:pPr>
      <w:r>
        <w:rPr>
          <w:rFonts w:ascii="Arial" w:eastAsia="Arial" w:hAnsi="Arial" w:cs="Arial"/>
          <w:b/>
          <w:bCs/>
        </w:rPr>
        <w:t>PM</w:t>
      </w:r>
      <w:r>
        <w:rPr>
          <w:rFonts w:ascii="Arial" w:eastAsia="Arial" w:hAnsi="Arial" w:cs="Arial"/>
          <w:b/>
          <w:bCs/>
          <w:vertAlign w:val="subscript"/>
        </w:rPr>
        <w:t>10</w:t>
      </w:r>
      <w:r>
        <w:rPr>
          <w:rFonts w:ascii="Arial" w:eastAsia="Arial" w:hAnsi="Arial" w:cs="Arial"/>
        </w:rPr>
        <w:t>: material particulado de 10 µg/m</w:t>
      </w:r>
      <w:r>
        <w:rPr>
          <w:rFonts w:ascii="Arial" w:eastAsia="Arial" w:hAnsi="Arial" w:cs="Arial"/>
          <w:vertAlign w:val="superscript"/>
        </w:rPr>
        <w:t>3</w:t>
      </w:r>
    </w:p>
    <w:p w14:paraId="0000003F" w14:textId="77777777" w:rsidR="004F5D47" w:rsidRDefault="00000000">
      <w:pPr>
        <w:spacing w:before="240" w:after="240"/>
        <w:rPr>
          <w:rFonts w:ascii="Arial" w:eastAsia="Arial" w:hAnsi="Arial" w:cs="Arial"/>
        </w:rPr>
      </w:pPr>
      <w:r>
        <w:rPr>
          <w:rFonts w:ascii="Arial" w:eastAsia="Arial" w:hAnsi="Arial" w:cs="Arial"/>
          <w:b/>
          <w:bCs/>
        </w:rPr>
        <w:t xml:space="preserve">OMS: </w:t>
      </w:r>
      <w:r>
        <w:rPr>
          <w:rFonts w:ascii="Arial" w:eastAsia="Arial" w:hAnsi="Arial" w:cs="Arial"/>
        </w:rPr>
        <w:t>Organización Mundial de la Salud</w:t>
      </w:r>
    </w:p>
    <w:p w14:paraId="00000040" w14:textId="77777777" w:rsidR="004F5D47" w:rsidRDefault="00000000">
      <w:pPr>
        <w:spacing w:before="240" w:after="240"/>
        <w:rPr>
          <w:rFonts w:ascii="Arial" w:eastAsia="Arial" w:hAnsi="Arial" w:cs="Arial"/>
        </w:rPr>
      </w:pPr>
      <w:r>
        <w:rPr>
          <w:rFonts w:ascii="Arial" w:eastAsia="Arial" w:hAnsi="Arial" w:cs="Arial"/>
          <w:b/>
          <w:bCs/>
        </w:rPr>
        <w:t>O</w:t>
      </w:r>
      <w:r>
        <w:rPr>
          <w:rFonts w:ascii="Arial" w:eastAsia="Arial" w:hAnsi="Arial" w:cs="Arial"/>
          <w:b/>
          <w:bCs/>
          <w:vertAlign w:val="subscript"/>
        </w:rPr>
        <w:t>3</w:t>
      </w:r>
      <w:r>
        <w:rPr>
          <w:rFonts w:ascii="Arial" w:eastAsia="Arial" w:hAnsi="Arial" w:cs="Arial"/>
          <w:b/>
          <w:bCs/>
        </w:rPr>
        <w:t xml:space="preserve">: </w:t>
      </w:r>
      <w:r>
        <w:rPr>
          <w:rFonts w:ascii="Arial" w:eastAsia="Arial" w:hAnsi="Arial" w:cs="Arial"/>
        </w:rPr>
        <w:t>ozono troposférico</w:t>
      </w:r>
    </w:p>
    <w:p w14:paraId="00000041" w14:textId="77777777" w:rsidR="004F5D47" w:rsidRDefault="00000000">
      <w:pPr>
        <w:spacing w:before="240" w:after="240"/>
        <w:rPr>
          <w:rFonts w:ascii="Arial" w:eastAsia="Arial" w:hAnsi="Arial" w:cs="Arial"/>
        </w:rPr>
      </w:pPr>
      <w:r>
        <w:rPr>
          <w:rFonts w:ascii="Arial" w:eastAsia="Arial" w:hAnsi="Arial" w:cs="Arial"/>
          <w:b/>
          <w:bCs/>
        </w:rPr>
        <w:t xml:space="preserve">RMCAB: </w:t>
      </w:r>
      <w:r>
        <w:rPr>
          <w:rFonts w:ascii="Arial" w:eastAsia="Arial" w:hAnsi="Arial" w:cs="Arial"/>
        </w:rPr>
        <w:t>Red de Monitoreo de Calidad del Aire de Bogotá</w:t>
      </w:r>
    </w:p>
    <w:p w14:paraId="00000042" w14:textId="77777777" w:rsidR="004F5D47" w:rsidRDefault="00000000">
      <w:pPr>
        <w:rPr>
          <w:rFonts w:ascii="Arial" w:eastAsia="Arial" w:hAnsi="Arial" w:cs="Arial"/>
        </w:rPr>
      </w:pPr>
      <w:r>
        <w:rPr>
          <w:rFonts w:ascii="Arial" w:eastAsia="Arial" w:hAnsi="Arial" w:cs="Arial"/>
          <w:b/>
          <w:bCs/>
        </w:rPr>
        <w:t xml:space="preserve">SDA: </w:t>
      </w:r>
      <w:r>
        <w:rPr>
          <w:rFonts w:ascii="Arial" w:eastAsia="Arial" w:hAnsi="Arial" w:cs="Arial"/>
        </w:rPr>
        <w:t>Secretaría Distrital de Ambiente</w:t>
      </w:r>
    </w:p>
    <w:p w14:paraId="00000043" w14:textId="77777777" w:rsidR="004F5D47" w:rsidRDefault="00000000">
      <w:pPr>
        <w:rPr>
          <w:rFonts w:ascii="Arial" w:eastAsia="Arial" w:hAnsi="Arial" w:cs="Arial"/>
        </w:rPr>
      </w:pPr>
      <w:r>
        <w:rPr>
          <w:rFonts w:ascii="Arial" w:eastAsia="Arial" w:hAnsi="Arial" w:cs="Arial"/>
          <w:b/>
          <w:bCs/>
        </w:rPr>
        <w:t xml:space="preserve">SDS: </w:t>
      </w:r>
      <w:r>
        <w:rPr>
          <w:rFonts w:ascii="Arial" w:eastAsia="Arial" w:hAnsi="Arial" w:cs="Arial"/>
        </w:rPr>
        <w:t>Secretaría Distrital de Salud</w:t>
      </w:r>
    </w:p>
    <w:p w14:paraId="00000044" w14:textId="77777777" w:rsidR="004F5D47" w:rsidRDefault="00000000">
      <w:pPr>
        <w:spacing w:before="240" w:after="240"/>
        <w:rPr>
          <w:rFonts w:ascii="Arial" w:eastAsia="Arial" w:hAnsi="Arial" w:cs="Arial"/>
        </w:rPr>
      </w:pPr>
      <w:r>
        <w:rPr>
          <w:rFonts w:ascii="Arial" w:eastAsia="Arial" w:hAnsi="Arial" w:cs="Arial"/>
          <w:b/>
          <w:bCs/>
        </w:rPr>
        <w:t>NO</w:t>
      </w:r>
      <w:r>
        <w:rPr>
          <w:rFonts w:ascii="Arial" w:eastAsia="Arial" w:hAnsi="Arial" w:cs="Arial"/>
          <w:b/>
          <w:bCs/>
          <w:vertAlign w:val="subscript"/>
        </w:rPr>
        <w:t>2</w:t>
      </w:r>
      <w:r>
        <w:rPr>
          <w:rFonts w:ascii="Arial" w:eastAsia="Arial" w:hAnsi="Arial" w:cs="Arial"/>
          <w:b/>
          <w:bCs/>
        </w:rPr>
        <w:t xml:space="preserve">: </w:t>
      </w:r>
      <w:r>
        <w:rPr>
          <w:rFonts w:ascii="Arial" w:eastAsia="Arial" w:hAnsi="Arial" w:cs="Arial"/>
        </w:rPr>
        <w:t>Dióxido de nitrógeno</w:t>
      </w:r>
    </w:p>
    <w:p w14:paraId="00000045" w14:textId="77777777" w:rsidR="004F5D47" w:rsidRDefault="00000000">
      <w:pPr>
        <w:spacing w:before="240" w:after="240"/>
        <w:rPr>
          <w:rFonts w:ascii="Arial" w:eastAsia="Arial" w:hAnsi="Arial" w:cs="Arial"/>
        </w:rPr>
      </w:pPr>
      <w:r>
        <w:rPr>
          <w:rFonts w:ascii="Arial" w:eastAsia="Arial" w:hAnsi="Arial" w:cs="Arial"/>
          <w:b/>
          <w:bCs/>
        </w:rPr>
        <w:t>SO</w:t>
      </w:r>
      <w:r>
        <w:rPr>
          <w:rFonts w:ascii="Arial" w:eastAsia="Arial" w:hAnsi="Arial" w:cs="Arial"/>
          <w:b/>
          <w:bCs/>
          <w:vertAlign w:val="subscript"/>
        </w:rPr>
        <w:t>2</w:t>
      </w:r>
      <w:r>
        <w:rPr>
          <w:rFonts w:ascii="Arial" w:eastAsia="Arial" w:hAnsi="Arial" w:cs="Arial"/>
          <w:b/>
          <w:bCs/>
        </w:rPr>
        <w:t xml:space="preserve">: </w:t>
      </w:r>
      <w:r>
        <w:rPr>
          <w:rFonts w:ascii="Arial" w:eastAsia="Arial" w:hAnsi="Arial" w:cs="Arial"/>
        </w:rPr>
        <w:t>Dióxido de azufre</w:t>
      </w:r>
    </w:p>
    <w:p w14:paraId="00000046" w14:textId="77777777" w:rsidR="004F5D47" w:rsidRDefault="004F5D47">
      <w:pPr>
        <w:rPr>
          <w:rFonts w:ascii="Arial" w:eastAsia="Arial" w:hAnsi="Arial" w:cs="Arial"/>
        </w:rPr>
      </w:pPr>
    </w:p>
    <w:p w14:paraId="00000047" w14:textId="77777777" w:rsidR="004F5D47" w:rsidRDefault="004F5D47">
      <w:pPr>
        <w:rPr>
          <w:rFonts w:ascii="Arial" w:eastAsia="Arial" w:hAnsi="Arial" w:cs="Arial"/>
          <w:b/>
          <w:bCs/>
        </w:rPr>
      </w:pPr>
    </w:p>
    <w:p w14:paraId="00000048" w14:textId="77777777" w:rsidR="004F5D47" w:rsidRDefault="004F5D47">
      <w:pPr>
        <w:rPr>
          <w:rFonts w:ascii="Arial" w:eastAsia="Arial" w:hAnsi="Arial" w:cs="Arial"/>
          <w:b/>
          <w:bCs/>
        </w:rPr>
      </w:pPr>
    </w:p>
    <w:p w14:paraId="00000049" w14:textId="77777777" w:rsidR="004F5D47" w:rsidRDefault="004F5D47">
      <w:pPr>
        <w:rPr>
          <w:rFonts w:ascii="Arial" w:eastAsia="Arial" w:hAnsi="Arial" w:cs="Arial"/>
          <w:b/>
          <w:bCs/>
        </w:rPr>
      </w:pPr>
    </w:p>
    <w:p w14:paraId="0000004A" w14:textId="77777777" w:rsidR="004F5D47" w:rsidRDefault="004F5D47">
      <w:pPr>
        <w:rPr>
          <w:rFonts w:ascii="Arial" w:eastAsia="Arial" w:hAnsi="Arial" w:cs="Arial"/>
          <w:b/>
          <w:bCs/>
        </w:rPr>
      </w:pPr>
    </w:p>
    <w:p w14:paraId="0000004B" w14:textId="77777777" w:rsidR="004F5D47" w:rsidRDefault="004F5D47">
      <w:pPr>
        <w:rPr>
          <w:rFonts w:ascii="Arial" w:eastAsia="Arial" w:hAnsi="Arial" w:cs="Arial"/>
          <w:b/>
          <w:bCs/>
        </w:rPr>
      </w:pPr>
    </w:p>
    <w:p w14:paraId="0000004C" w14:textId="77777777" w:rsidR="004F5D47" w:rsidRDefault="004F5D47">
      <w:pPr>
        <w:rPr>
          <w:rFonts w:ascii="Arial" w:eastAsia="Arial" w:hAnsi="Arial" w:cs="Arial"/>
          <w:b/>
          <w:bCs/>
        </w:rPr>
      </w:pPr>
    </w:p>
    <w:p w14:paraId="0000004D" w14:textId="77777777" w:rsidR="004F5D47" w:rsidRDefault="004F5D47">
      <w:pPr>
        <w:rPr>
          <w:rFonts w:ascii="Arial" w:eastAsia="Arial" w:hAnsi="Arial" w:cs="Arial"/>
          <w:b/>
          <w:bCs/>
        </w:rPr>
      </w:pPr>
    </w:p>
    <w:p w14:paraId="0000004E" w14:textId="77777777" w:rsidR="004F5D47" w:rsidRDefault="004F5D47">
      <w:pPr>
        <w:rPr>
          <w:rFonts w:ascii="Arial" w:eastAsia="Arial" w:hAnsi="Arial" w:cs="Arial"/>
          <w:b/>
          <w:bCs/>
        </w:rPr>
      </w:pPr>
    </w:p>
    <w:p w14:paraId="0000004F" w14:textId="77777777" w:rsidR="004F5D47" w:rsidRDefault="004F5D47">
      <w:pPr>
        <w:rPr>
          <w:rFonts w:ascii="Arial" w:eastAsia="Arial" w:hAnsi="Arial" w:cs="Arial"/>
          <w:b/>
          <w:bCs/>
        </w:rPr>
      </w:pPr>
    </w:p>
    <w:p w14:paraId="00000050" w14:textId="77777777" w:rsidR="004F5D47" w:rsidRDefault="004F5D47">
      <w:pPr>
        <w:rPr>
          <w:rFonts w:ascii="Arial" w:eastAsia="Arial" w:hAnsi="Arial" w:cs="Arial"/>
          <w:b/>
          <w:bCs/>
        </w:rPr>
      </w:pPr>
    </w:p>
    <w:p w14:paraId="00000051" w14:textId="77777777" w:rsidR="004F5D47" w:rsidRDefault="00000000">
      <w:pPr>
        <w:pStyle w:val="Ttulo1"/>
      </w:pPr>
      <w:bookmarkStart w:id="1" w:name="_heading=h.3dy6vkm" w:colFirst="0" w:colLast="0"/>
      <w:bookmarkEnd w:id="1"/>
      <w:r>
        <w:t>1. Introducción</w:t>
      </w:r>
    </w:p>
    <w:p w14:paraId="00000052" w14:textId="77777777" w:rsidR="004F5D47" w:rsidRDefault="004F5D47">
      <w:pPr>
        <w:spacing w:after="0" w:line="240" w:lineRule="auto"/>
        <w:jc w:val="both"/>
        <w:rPr>
          <w:rFonts w:ascii="Arial" w:eastAsia="Arial" w:hAnsi="Arial" w:cs="Arial"/>
          <w:b/>
          <w:bCs/>
        </w:rPr>
      </w:pPr>
    </w:p>
    <w:p w14:paraId="00000053" w14:textId="77777777" w:rsidR="004F5D47" w:rsidRDefault="00000000">
      <w:pPr>
        <w:spacing w:after="0" w:line="240" w:lineRule="auto"/>
        <w:jc w:val="both"/>
        <w:rPr>
          <w:rFonts w:ascii="Arial" w:eastAsia="Arial" w:hAnsi="Arial" w:cs="Arial"/>
        </w:rPr>
      </w:pPr>
      <w:r>
        <w:rPr>
          <w:rFonts w:ascii="Arial" w:eastAsia="Arial" w:hAnsi="Arial" w:cs="Arial"/>
        </w:rPr>
        <w:t>En el presente informe se describen los avances realizados conjuntamente por la Secretaría Distrital de Ambiente (SDA) y la Secretaría Distrital de Salud</w:t>
      </w:r>
      <w:r>
        <w:rPr>
          <w:rFonts w:ascii="Arial" w:eastAsia="Arial" w:hAnsi="Arial" w:cs="Arial"/>
          <w:highlight w:val="white"/>
        </w:rPr>
        <w:t xml:space="preserve"> de Bogotá</w:t>
      </w:r>
      <w:r>
        <w:rPr>
          <w:rFonts w:ascii="Arial" w:eastAsia="Arial" w:hAnsi="Arial" w:cs="Arial"/>
        </w:rPr>
        <w:t xml:space="preserve"> (SDS), entre marzo del 2025 y febrero del 2026, para dar cumplimiento al Acuerdo 802 del 16 de febrero del 2021 del Concejo de Bogotá, “</w:t>
      </w:r>
      <w:r>
        <w:rPr>
          <w:rFonts w:ascii="Arial" w:eastAsia="Arial" w:hAnsi="Arial" w:cs="Arial"/>
          <w:i/>
          <w:iCs/>
        </w:rPr>
        <w:t>Por el cual se establecen lineamientos para la formulación de la metodología para la evaluación y ajuste de los intervalos del Índice Bogotano de Calidad de Aire y Riesgo en Salud - IBOCA, y se dictan otras disposiciones”</w:t>
      </w:r>
      <w:r>
        <w:rPr>
          <w:rFonts w:ascii="Arial" w:eastAsia="Arial" w:hAnsi="Arial" w:cs="Arial"/>
        </w:rPr>
        <w:t xml:space="preserve">. </w:t>
      </w:r>
    </w:p>
    <w:p w14:paraId="00000054" w14:textId="77777777" w:rsidR="004F5D47" w:rsidRDefault="004F5D47">
      <w:pPr>
        <w:spacing w:after="0" w:line="240" w:lineRule="auto"/>
        <w:jc w:val="both"/>
        <w:rPr>
          <w:rFonts w:ascii="Arial" w:eastAsia="Arial" w:hAnsi="Arial" w:cs="Arial"/>
        </w:rPr>
      </w:pPr>
    </w:p>
    <w:p w14:paraId="00000055" w14:textId="77777777" w:rsidR="004F5D47" w:rsidRDefault="00000000">
      <w:pPr>
        <w:spacing w:after="0" w:line="240" w:lineRule="auto"/>
        <w:jc w:val="both"/>
        <w:rPr>
          <w:rFonts w:ascii="Arial" w:eastAsia="Arial" w:hAnsi="Arial" w:cs="Arial"/>
        </w:rPr>
      </w:pPr>
      <w:r>
        <w:rPr>
          <w:rFonts w:ascii="Arial" w:eastAsia="Arial" w:hAnsi="Arial" w:cs="Arial"/>
        </w:rPr>
        <w:t>En primer lugar, se especifica la forma en que se han venido desarrollando cada uno de los artículos del Acuerdo 802, mostrando los avances en la implementación de la  metodología para la evaluación y ajuste periodico del Indice Bogotano de Calidad del Aire y Riesgo en Salud (IBOCA), incluyendo el resumen de los análisis y la evaluación del IBOCA actual establecido mediante la Resolución Conjunta 2840 de 2023, y los avances en las estimaciones de riesgo entre la mortalidad y los contaminantes atmosféricos PM</w:t>
      </w:r>
      <w:r>
        <w:rPr>
          <w:rFonts w:ascii="Arial" w:eastAsia="Arial" w:hAnsi="Arial" w:cs="Arial"/>
          <w:vertAlign w:val="subscript"/>
        </w:rPr>
        <w:t>10</w:t>
      </w:r>
      <w:r>
        <w:rPr>
          <w:rFonts w:ascii="Arial" w:eastAsia="Arial" w:hAnsi="Arial" w:cs="Arial"/>
        </w:rPr>
        <w:t>, PM</w:t>
      </w:r>
      <w:r>
        <w:rPr>
          <w:rFonts w:ascii="Arial" w:eastAsia="Arial" w:hAnsi="Arial" w:cs="Arial"/>
          <w:vertAlign w:val="subscript"/>
        </w:rPr>
        <w:t>2.5</w:t>
      </w:r>
      <w:r>
        <w:rPr>
          <w:rFonts w:ascii="Arial" w:eastAsia="Arial" w:hAnsi="Arial" w:cs="Arial"/>
        </w:rPr>
        <w:t>, NO</w:t>
      </w:r>
      <w:r>
        <w:rPr>
          <w:rFonts w:ascii="Arial" w:eastAsia="Arial" w:hAnsi="Arial" w:cs="Arial"/>
          <w:vertAlign w:val="subscript"/>
        </w:rPr>
        <w:t>2</w:t>
      </w:r>
      <w:r>
        <w:rPr>
          <w:rFonts w:ascii="Arial" w:eastAsia="Arial" w:hAnsi="Arial" w:cs="Arial"/>
        </w:rPr>
        <w:t>, SO</w:t>
      </w:r>
      <w:r>
        <w:rPr>
          <w:rFonts w:ascii="Arial" w:eastAsia="Arial" w:hAnsi="Arial" w:cs="Arial"/>
          <w:vertAlign w:val="subscript"/>
        </w:rPr>
        <w:t>2</w:t>
      </w:r>
      <w:r>
        <w:rPr>
          <w:rFonts w:ascii="Arial" w:eastAsia="Arial" w:hAnsi="Arial" w:cs="Arial"/>
        </w:rPr>
        <w:t xml:space="preserve"> y O</w:t>
      </w:r>
      <w:r>
        <w:rPr>
          <w:rFonts w:ascii="Arial" w:eastAsia="Arial" w:hAnsi="Arial" w:cs="Arial"/>
          <w:vertAlign w:val="subscript"/>
        </w:rPr>
        <w:t xml:space="preserve">3 </w:t>
      </w:r>
      <w:r>
        <w:rPr>
          <w:rFonts w:ascii="Arial" w:eastAsia="Arial" w:hAnsi="Arial" w:cs="Arial"/>
        </w:rPr>
        <w:t xml:space="preserve"> para Bogotá en el periodo 2015-2019. </w:t>
      </w:r>
    </w:p>
    <w:p w14:paraId="00000056" w14:textId="77777777" w:rsidR="004F5D47" w:rsidRDefault="004F5D47">
      <w:pPr>
        <w:spacing w:after="0" w:line="240" w:lineRule="auto"/>
        <w:jc w:val="both"/>
        <w:rPr>
          <w:rFonts w:ascii="Arial" w:eastAsia="Arial" w:hAnsi="Arial" w:cs="Arial"/>
        </w:rPr>
      </w:pPr>
    </w:p>
    <w:p w14:paraId="00000057" w14:textId="77777777" w:rsidR="004F5D47" w:rsidRDefault="00000000">
      <w:pPr>
        <w:spacing w:after="0" w:line="240" w:lineRule="auto"/>
        <w:jc w:val="both"/>
        <w:rPr>
          <w:rFonts w:ascii="Arial" w:eastAsia="Arial" w:hAnsi="Arial" w:cs="Arial"/>
        </w:rPr>
      </w:pPr>
      <w:r>
        <w:rPr>
          <w:rFonts w:ascii="Arial" w:eastAsia="Arial" w:hAnsi="Arial" w:cs="Arial"/>
        </w:rPr>
        <w:t>Por otra parte, se presentan los avances en la implementación de la Estrategia Pedagógica y Comunicacional del IBOCA, el monitoreo de la calidad del aire en Bogotá y el consolidado de las denuncias ciudadanas sobre las situaciones que afectan la calidad del aire de la ciudad</w:t>
      </w:r>
      <w:r>
        <w:rPr>
          <w:rFonts w:ascii="Arial" w:eastAsia="Arial" w:hAnsi="Arial" w:cs="Arial"/>
          <w:sz w:val="24"/>
          <w:szCs w:val="24"/>
          <w:highlight w:val="white"/>
        </w:rPr>
        <w:t xml:space="preserve">. </w:t>
      </w:r>
    </w:p>
    <w:p w14:paraId="00000058" w14:textId="77777777" w:rsidR="004F5D47" w:rsidRDefault="004F5D47">
      <w:pPr>
        <w:spacing w:after="0" w:line="240" w:lineRule="auto"/>
        <w:jc w:val="both"/>
        <w:rPr>
          <w:rFonts w:ascii="Arial" w:eastAsia="Arial" w:hAnsi="Arial" w:cs="Arial"/>
        </w:rPr>
      </w:pPr>
    </w:p>
    <w:p w14:paraId="00000059" w14:textId="77777777" w:rsidR="004F5D47" w:rsidRDefault="00000000">
      <w:pPr>
        <w:spacing w:after="0" w:line="240" w:lineRule="auto"/>
        <w:jc w:val="both"/>
        <w:rPr>
          <w:rFonts w:ascii="Arial" w:eastAsia="Arial" w:hAnsi="Arial" w:cs="Arial"/>
          <w:b/>
          <w:bCs/>
        </w:rPr>
      </w:pPr>
      <w:r>
        <w:rPr>
          <w:rFonts w:ascii="Arial" w:eastAsia="Arial" w:hAnsi="Arial" w:cs="Arial"/>
          <w:b/>
          <w:bCs/>
        </w:rPr>
        <w:t>2. Desarrollo del articulado del Acuerdo 802 de 2021</w:t>
      </w:r>
    </w:p>
    <w:p w14:paraId="0000005A" w14:textId="77777777" w:rsidR="004F5D47" w:rsidRDefault="004F5D47">
      <w:pPr>
        <w:spacing w:after="0" w:line="240" w:lineRule="auto"/>
        <w:jc w:val="both"/>
        <w:rPr>
          <w:rFonts w:ascii="Arial" w:eastAsia="Arial" w:hAnsi="Arial" w:cs="Arial"/>
        </w:rPr>
      </w:pPr>
    </w:p>
    <w:p w14:paraId="0000005B" w14:textId="77777777" w:rsidR="004F5D47" w:rsidRDefault="00000000">
      <w:pPr>
        <w:widowControl w:val="0"/>
        <w:pBdr>
          <w:top w:val="nil"/>
          <w:left w:val="nil"/>
          <w:bottom w:val="nil"/>
          <w:right w:val="nil"/>
          <w:between w:val="nil"/>
        </w:pBdr>
        <w:tabs>
          <w:tab w:val="left" w:pos="426"/>
          <w:tab w:val="left" w:pos="2062"/>
        </w:tabs>
        <w:spacing w:after="0" w:line="240" w:lineRule="auto"/>
        <w:ind w:right="362"/>
        <w:jc w:val="both"/>
        <w:rPr>
          <w:rFonts w:ascii="Arial" w:eastAsia="Arial" w:hAnsi="Arial" w:cs="Arial"/>
          <w:color w:val="000000"/>
          <w:highlight w:val="yellow"/>
        </w:rPr>
      </w:pPr>
      <w:r>
        <w:rPr>
          <w:rFonts w:ascii="Arial" w:eastAsia="Arial" w:hAnsi="Arial" w:cs="Arial"/>
          <w:color w:val="000000"/>
        </w:rPr>
        <w:t xml:space="preserve">En la Tabla 1 se indica la forma en que han sido atendidos y desarrollados los artículos del Acuerdo 802 del 2021, durante el periodo comprendido entre </w:t>
      </w:r>
      <w:r>
        <w:rPr>
          <w:rFonts w:ascii="Arial" w:eastAsia="Arial" w:hAnsi="Arial" w:cs="Arial"/>
        </w:rPr>
        <w:t>marzo</w:t>
      </w:r>
      <w:r>
        <w:rPr>
          <w:rFonts w:ascii="Arial" w:eastAsia="Arial" w:hAnsi="Arial" w:cs="Arial"/>
          <w:color w:val="000000"/>
        </w:rPr>
        <w:t xml:space="preserve"> del 202</w:t>
      </w:r>
      <w:r>
        <w:rPr>
          <w:rFonts w:ascii="Arial" w:eastAsia="Arial" w:hAnsi="Arial" w:cs="Arial"/>
        </w:rPr>
        <w:t>5</w:t>
      </w:r>
      <w:r>
        <w:rPr>
          <w:rFonts w:ascii="Arial" w:eastAsia="Arial" w:hAnsi="Arial" w:cs="Arial"/>
          <w:color w:val="000000"/>
        </w:rPr>
        <w:t xml:space="preserve"> y febrero del 202</w:t>
      </w:r>
      <w:r>
        <w:rPr>
          <w:rFonts w:ascii="Arial" w:eastAsia="Arial" w:hAnsi="Arial" w:cs="Arial"/>
        </w:rPr>
        <w:t>6.</w:t>
      </w:r>
    </w:p>
    <w:p w14:paraId="0000005C" w14:textId="77777777" w:rsidR="004F5D47" w:rsidRDefault="004F5D47">
      <w:pPr>
        <w:widowControl w:val="0"/>
        <w:pBdr>
          <w:top w:val="nil"/>
          <w:left w:val="nil"/>
          <w:bottom w:val="nil"/>
          <w:right w:val="nil"/>
          <w:between w:val="nil"/>
        </w:pBdr>
        <w:tabs>
          <w:tab w:val="left" w:pos="426"/>
          <w:tab w:val="left" w:pos="2062"/>
        </w:tabs>
        <w:spacing w:before="6" w:after="0" w:line="240" w:lineRule="auto"/>
        <w:rPr>
          <w:rFonts w:ascii="Arial" w:eastAsia="Arial" w:hAnsi="Arial" w:cs="Arial"/>
          <w:color w:val="000000"/>
        </w:rPr>
      </w:pPr>
    </w:p>
    <w:p w14:paraId="0000005D" w14:textId="77777777" w:rsidR="004F5D47" w:rsidRDefault="00000000">
      <w:pPr>
        <w:widowControl w:val="0"/>
        <w:pBdr>
          <w:top w:val="nil"/>
          <w:left w:val="nil"/>
          <w:bottom w:val="nil"/>
          <w:right w:val="nil"/>
          <w:between w:val="nil"/>
        </w:pBdr>
        <w:tabs>
          <w:tab w:val="left" w:pos="426"/>
          <w:tab w:val="left" w:pos="2062"/>
        </w:tabs>
        <w:spacing w:after="0" w:line="240" w:lineRule="auto"/>
        <w:ind w:right="937"/>
        <w:jc w:val="center"/>
        <w:rPr>
          <w:rFonts w:ascii="Arial" w:eastAsia="Arial" w:hAnsi="Arial" w:cs="Arial"/>
          <w:color w:val="000000"/>
        </w:rPr>
      </w:pPr>
      <w:r>
        <w:rPr>
          <w:rFonts w:ascii="Arial" w:eastAsia="Arial" w:hAnsi="Arial" w:cs="Arial"/>
          <w:b/>
          <w:bCs/>
          <w:color w:val="000000"/>
        </w:rPr>
        <w:t xml:space="preserve">Tabla 1. </w:t>
      </w:r>
      <w:r>
        <w:rPr>
          <w:rFonts w:ascii="Arial" w:eastAsia="Arial" w:hAnsi="Arial" w:cs="Arial"/>
          <w:color w:val="000000"/>
        </w:rPr>
        <w:t>Acciones acumuladas realizadas para el desarrollo del articulado del Acuerdo 802 del 2021.</w:t>
      </w:r>
    </w:p>
    <w:tbl>
      <w:tblPr>
        <w:tblStyle w:val="af7"/>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4F5D47" w14:paraId="19C8BC86" w14:textId="77777777">
        <w:tc>
          <w:tcPr>
            <w:tcW w:w="4414" w:type="dxa"/>
            <w:shd w:val="clear" w:color="auto" w:fill="E7E6E6"/>
          </w:tcPr>
          <w:p w14:paraId="0000005E" w14:textId="77777777" w:rsidR="004F5D47" w:rsidRDefault="00000000">
            <w:pPr>
              <w:widowControl w:val="0"/>
              <w:pBdr>
                <w:top w:val="nil"/>
                <w:left w:val="nil"/>
                <w:bottom w:val="nil"/>
                <w:right w:val="nil"/>
                <w:between w:val="nil"/>
              </w:pBdr>
              <w:tabs>
                <w:tab w:val="left" w:pos="426"/>
                <w:tab w:val="left" w:pos="2062"/>
              </w:tabs>
              <w:ind w:right="937"/>
              <w:jc w:val="center"/>
              <w:rPr>
                <w:rFonts w:ascii="Arial" w:eastAsia="Arial" w:hAnsi="Arial" w:cs="Arial"/>
                <w:b/>
                <w:bCs/>
                <w:color w:val="000000"/>
                <w:sz w:val="18"/>
                <w:szCs w:val="18"/>
              </w:rPr>
            </w:pPr>
            <w:r>
              <w:rPr>
                <w:rFonts w:ascii="Arial" w:eastAsia="Arial" w:hAnsi="Arial" w:cs="Arial"/>
                <w:b/>
                <w:bCs/>
                <w:color w:val="000000"/>
                <w:sz w:val="18"/>
                <w:szCs w:val="18"/>
              </w:rPr>
              <w:t>ARTICULADO</w:t>
            </w:r>
          </w:p>
        </w:tc>
        <w:tc>
          <w:tcPr>
            <w:tcW w:w="4414" w:type="dxa"/>
            <w:shd w:val="clear" w:color="auto" w:fill="E7E6E6"/>
          </w:tcPr>
          <w:p w14:paraId="0000005F" w14:textId="77777777" w:rsidR="004F5D47" w:rsidRDefault="00000000">
            <w:pPr>
              <w:widowControl w:val="0"/>
              <w:pBdr>
                <w:top w:val="nil"/>
                <w:left w:val="nil"/>
                <w:bottom w:val="nil"/>
                <w:right w:val="nil"/>
                <w:between w:val="nil"/>
              </w:pBdr>
              <w:tabs>
                <w:tab w:val="left" w:pos="426"/>
                <w:tab w:val="left" w:pos="2062"/>
              </w:tabs>
              <w:ind w:right="937"/>
              <w:jc w:val="center"/>
              <w:rPr>
                <w:rFonts w:ascii="Arial" w:eastAsia="Arial" w:hAnsi="Arial" w:cs="Arial"/>
                <w:b/>
                <w:bCs/>
                <w:color w:val="000000"/>
                <w:sz w:val="18"/>
                <w:szCs w:val="18"/>
              </w:rPr>
            </w:pPr>
            <w:r>
              <w:rPr>
                <w:rFonts w:ascii="Arial" w:eastAsia="Arial" w:hAnsi="Arial" w:cs="Arial"/>
                <w:b/>
                <w:bCs/>
                <w:color w:val="000000"/>
                <w:sz w:val="18"/>
                <w:szCs w:val="18"/>
              </w:rPr>
              <w:t>ACCIONES DESARROLLADAS</w:t>
            </w:r>
          </w:p>
        </w:tc>
      </w:tr>
      <w:tr w:rsidR="004F5D47" w14:paraId="44F528B0" w14:textId="77777777">
        <w:tc>
          <w:tcPr>
            <w:tcW w:w="4414" w:type="dxa"/>
          </w:tcPr>
          <w:p w14:paraId="00000060" w14:textId="77777777" w:rsidR="004F5D47" w:rsidRDefault="00000000">
            <w:pPr>
              <w:widowControl w:val="0"/>
              <w:pBdr>
                <w:top w:val="nil"/>
                <w:left w:val="nil"/>
                <w:bottom w:val="nil"/>
                <w:right w:val="nil"/>
                <w:between w:val="nil"/>
              </w:pBdr>
              <w:tabs>
                <w:tab w:val="left" w:pos="2062"/>
              </w:tabs>
              <w:spacing w:before="99"/>
              <w:ind w:left="107" w:right="93"/>
              <w:jc w:val="both"/>
              <w:rPr>
                <w:rFonts w:ascii="Arial" w:eastAsia="Arial" w:hAnsi="Arial" w:cs="Arial"/>
                <w:sz w:val="18"/>
                <w:szCs w:val="18"/>
              </w:rPr>
            </w:pPr>
            <w:r>
              <w:rPr>
                <w:rFonts w:ascii="Arial" w:eastAsia="Arial" w:hAnsi="Arial" w:cs="Arial"/>
                <w:sz w:val="18"/>
                <w:szCs w:val="18"/>
              </w:rPr>
              <w:t>ARTÍCULO 1. OBJETO. La Administración, en cabeza de la Secretaría Distrital de Ambiente y la Secretaría Distrital de Salud, tendrá en cuenta los lineamientos establecidos en el presente acuerdo, para la elaboración de una metodología por medio de la cual se evalúen periódicamente los intervalos de concentración del material contaminante, establecido en el Índice Bogotano de la Calidad del Aire IBOCA, para responder con más precisión y de forma cada vez más estricta a los diferentes estados de contaminación atmosférica en Bogotá y disminuir sus impactos en salud, incluyendo las directrices establecidas por la Organización Mundial de la Salud.</w:t>
            </w:r>
          </w:p>
          <w:p w14:paraId="00000061" w14:textId="77777777" w:rsidR="004F5D47" w:rsidRDefault="004F5D47">
            <w:pPr>
              <w:widowControl w:val="0"/>
              <w:pBdr>
                <w:top w:val="nil"/>
                <w:left w:val="nil"/>
                <w:bottom w:val="nil"/>
                <w:right w:val="nil"/>
                <w:between w:val="nil"/>
              </w:pBdr>
              <w:tabs>
                <w:tab w:val="left" w:pos="2062"/>
              </w:tabs>
              <w:spacing w:before="2"/>
              <w:ind w:left="108"/>
              <w:jc w:val="both"/>
              <w:rPr>
                <w:rFonts w:ascii="Arial" w:eastAsia="Arial" w:hAnsi="Arial" w:cs="Arial"/>
                <w:sz w:val="18"/>
                <w:szCs w:val="18"/>
              </w:rPr>
            </w:pPr>
          </w:p>
          <w:p w14:paraId="00000062" w14:textId="77777777" w:rsidR="004F5D47" w:rsidRDefault="00000000">
            <w:pPr>
              <w:widowControl w:val="0"/>
              <w:pBdr>
                <w:top w:val="nil"/>
                <w:left w:val="nil"/>
                <w:bottom w:val="nil"/>
                <w:right w:val="nil"/>
                <w:between w:val="nil"/>
              </w:pBdr>
              <w:tabs>
                <w:tab w:val="left" w:pos="2062"/>
              </w:tabs>
              <w:ind w:left="107" w:right="94"/>
              <w:jc w:val="both"/>
              <w:rPr>
                <w:rFonts w:ascii="Arial" w:eastAsia="Arial" w:hAnsi="Arial" w:cs="Arial"/>
                <w:sz w:val="18"/>
                <w:szCs w:val="18"/>
              </w:rPr>
            </w:pPr>
            <w:r>
              <w:rPr>
                <w:rFonts w:ascii="Arial" w:eastAsia="Arial" w:hAnsi="Arial" w:cs="Arial"/>
                <w:sz w:val="18"/>
                <w:szCs w:val="18"/>
              </w:rPr>
              <w:t>PARÁGRAFO 1. La Administración Distrital expedirá por acto administrativo la actualización de los intervalos de concentración de los contaminantes incluidos en el Índice Bogotano de la Calidad del Aire.</w:t>
            </w:r>
          </w:p>
          <w:p w14:paraId="00000063" w14:textId="77777777" w:rsidR="004F5D47" w:rsidRDefault="00000000">
            <w:pPr>
              <w:widowControl w:val="0"/>
              <w:pBdr>
                <w:top w:val="nil"/>
                <w:left w:val="nil"/>
                <w:bottom w:val="nil"/>
                <w:right w:val="nil"/>
                <w:between w:val="nil"/>
              </w:pBdr>
              <w:tabs>
                <w:tab w:val="left" w:pos="2062"/>
              </w:tabs>
              <w:ind w:left="107" w:right="94"/>
              <w:jc w:val="both"/>
              <w:rPr>
                <w:rFonts w:ascii="Arial" w:eastAsia="Arial" w:hAnsi="Arial" w:cs="Arial"/>
                <w:sz w:val="18"/>
                <w:szCs w:val="18"/>
              </w:rPr>
            </w:pPr>
            <w:r>
              <w:rPr>
                <w:rFonts w:ascii="Arial" w:eastAsia="Arial" w:hAnsi="Arial" w:cs="Arial"/>
                <w:sz w:val="18"/>
                <w:szCs w:val="18"/>
              </w:rPr>
              <w:t>- IBOCA, así como las actualizaciones adicionales que se realicen sobre el mismo, conforme a los ajustes y tiempos que la metodología técnica determine.</w:t>
            </w:r>
          </w:p>
          <w:p w14:paraId="00000064" w14:textId="77777777" w:rsidR="004F5D47" w:rsidRDefault="004F5D47">
            <w:pPr>
              <w:widowControl w:val="0"/>
              <w:pBdr>
                <w:top w:val="nil"/>
                <w:left w:val="nil"/>
                <w:bottom w:val="nil"/>
                <w:right w:val="nil"/>
                <w:between w:val="nil"/>
              </w:pBdr>
              <w:tabs>
                <w:tab w:val="left" w:pos="2062"/>
              </w:tabs>
              <w:spacing w:before="11"/>
              <w:ind w:left="108"/>
              <w:jc w:val="both"/>
              <w:rPr>
                <w:rFonts w:ascii="Arial" w:eastAsia="Arial" w:hAnsi="Arial" w:cs="Arial"/>
                <w:sz w:val="18"/>
                <w:szCs w:val="18"/>
              </w:rPr>
            </w:pPr>
          </w:p>
          <w:p w14:paraId="00000065" w14:textId="77777777" w:rsidR="004F5D47" w:rsidRDefault="00000000">
            <w:pPr>
              <w:widowControl w:val="0"/>
              <w:pBdr>
                <w:top w:val="nil"/>
                <w:left w:val="nil"/>
                <w:bottom w:val="nil"/>
                <w:right w:val="nil"/>
                <w:between w:val="nil"/>
              </w:pBdr>
              <w:tabs>
                <w:tab w:val="left" w:pos="426"/>
              </w:tabs>
              <w:ind w:right="55"/>
              <w:jc w:val="both"/>
              <w:rPr>
                <w:rFonts w:ascii="Arial" w:eastAsia="Arial" w:hAnsi="Arial" w:cs="Arial"/>
                <w:sz w:val="18"/>
                <w:szCs w:val="18"/>
              </w:rPr>
            </w:pPr>
            <w:r>
              <w:rPr>
                <w:rFonts w:ascii="Arial" w:eastAsia="Arial" w:hAnsi="Arial" w:cs="Arial"/>
                <w:sz w:val="18"/>
                <w:szCs w:val="18"/>
              </w:rPr>
              <w:t>PARÁGRAFO 2. La mencionada actualización se realizará gradualmente, acogiendo las recomendaciones de calidad del aire de la Organización Mundial de la Salud - OMS, para lo cual se deberán establecer de acuerdo con el parágrafo 1, las modificaciones a que haya lugar.</w:t>
            </w:r>
          </w:p>
        </w:tc>
        <w:tc>
          <w:tcPr>
            <w:tcW w:w="4414" w:type="dxa"/>
          </w:tcPr>
          <w:p w14:paraId="00000066" w14:textId="77777777" w:rsidR="004F5D47" w:rsidRDefault="004F5D47">
            <w:pPr>
              <w:widowControl w:val="0"/>
              <w:shd w:val="clear" w:color="auto" w:fill="FFFFFF"/>
              <w:tabs>
                <w:tab w:val="left" w:pos="426"/>
                <w:tab w:val="left" w:pos="2062"/>
              </w:tabs>
              <w:jc w:val="both"/>
              <w:rPr>
                <w:rFonts w:ascii="Arial" w:eastAsia="Arial" w:hAnsi="Arial" w:cs="Arial"/>
                <w:sz w:val="18"/>
                <w:szCs w:val="18"/>
              </w:rPr>
            </w:pPr>
          </w:p>
          <w:p w14:paraId="00000067" w14:textId="77777777" w:rsidR="004F5D47" w:rsidRDefault="00000000">
            <w:pPr>
              <w:widowControl w:val="0"/>
              <w:shd w:val="clear" w:color="auto" w:fill="FFFFFF"/>
              <w:tabs>
                <w:tab w:val="left" w:pos="426"/>
                <w:tab w:val="left" w:pos="2062"/>
              </w:tabs>
              <w:jc w:val="both"/>
              <w:rPr>
                <w:rFonts w:ascii="Arial" w:eastAsia="Arial" w:hAnsi="Arial" w:cs="Arial"/>
                <w:sz w:val="18"/>
                <w:szCs w:val="18"/>
              </w:rPr>
            </w:pPr>
            <w:r>
              <w:rPr>
                <w:rFonts w:ascii="Arial" w:eastAsia="Arial" w:hAnsi="Arial" w:cs="Arial"/>
                <w:sz w:val="18"/>
                <w:szCs w:val="18"/>
              </w:rPr>
              <w:t xml:space="preserve">De acuerdo con la metodología de actualización del Índice Bogotano de Calidad del Aire y Riesgo en Salud (IBOCA) (Anexo 1. Metodología actualización IBOCA) actualmente está en desarrollo la </w:t>
            </w:r>
            <w:r>
              <w:rPr>
                <w:rFonts w:ascii="Arial" w:eastAsia="Arial" w:hAnsi="Arial" w:cs="Arial"/>
                <w:sz w:val="18"/>
                <w:szCs w:val="18"/>
                <w:highlight w:val="white"/>
              </w:rPr>
              <w:t>fase 2 en la cual se tiene avance en los siguientes aspectos</w:t>
            </w:r>
            <w:r>
              <w:rPr>
                <w:rFonts w:ascii="Arial" w:eastAsia="Arial" w:hAnsi="Arial" w:cs="Arial"/>
                <w:sz w:val="18"/>
                <w:szCs w:val="18"/>
              </w:rPr>
              <w:t>:</w:t>
            </w:r>
          </w:p>
          <w:p w14:paraId="00000068" w14:textId="77777777" w:rsidR="004F5D47" w:rsidRDefault="00000000">
            <w:pPr>
              <w:widowControl w:val="0"/>
              <w:shd w:val="clear" w:color="auto" w:fill="FFFFFF"/>
              <w:tabs>
                <w:tab w:val="left" w:pos="426"/>
                <w:tab w:val="left" w:pos="2062"/>
              </w:tabs>
              <w:spacing w:before="240" w:after="240"/>
              <w:jc w:val="both"/>
              <w:rPr>
                <w:rFonts w:ascii="Arial" w:eastAsia="Arial" w:hAnsi="Arial" w:cs="Arial"/>
                <w:sz w:val="18"/>
                <w:szCs w:val="18"/>
              </w:rPr>
            </w:pPr>
            <w:r>
              <w:rPr>
                <w:rFonts w:ascii="Arial" w:eastAsia="Arial" w:hAnsi="Arial" w:cs="Arial"/>
                <w:sz w:val="18"/>
                <w:szCs w:val="18"/>
              </w:rPr>
              <w:t xml:space="preserve">Se realizó un análisis en conjunto entre la SDS y la SDA para estimar los riesgos relativos locales de las mortalidades específicas por  PM2,5, PM10, O3 y NO2. Se encontró  que  los riesgos relativos RR para los contaminantes PM2,5 y PM10 en la mortalidad natural (1,011 y 1,006 respectivamente) del estudio local fueron más altos que los utilizados por la OMS en la actualización de la GCA 2021. </w:t>
            </w:r>
          </w:p>
          <w:p w14:paraId="00000069" w14:textId="77777777" w:rsidR="004F5D47" w:rsidRDefault="00000000">
            <w:pPr>
              <w:widowControl w:val="0"/>
              <w:shd w:val="clear" w:color="auto" w:fill="FFFFFF"/>
              <w:tabs>
                <w:tab w:val="left" w:pos="426"/>
                <w:tab w:val="left" w:pos="2062"/>
              </w:tabs>
              <w:spacing w:before="240" w:after="240"/>
              <w:jc w:val="both"/>
              <w:rPr>
                <w:rFonts w:ascii="Arial" w:eastAsia="Arial" w:hAnsi="Arial" w:cs="Arial"/>
                <w:sz w:val="18"/>
                <w:szCs w:val="18"/>
              </w:rPr>
            </w:pPr>
            <w:r>
              <w:rPr>
                <w:rFonts w:ascii="Arial" w:eastAsia="Arial" w:hAnsi="Arial" w:cs="Arial"/>
                <w:sz w:val="18"/>
                <w:szCs w:val="18"/>
              </w:rPr>
              <w:t>Es necesario explorar, validar, evaluar  y definir la pertinencia de incorporar los resultados locales para los umbrales del IBOCA.</w:t>
            </w:r>
          </w:p>
          <w:p w14:paraId="0000006A" w14:textId="77777777" w:rsidR="004F5D47" w:rsidRDefault="00000000">
            <w:pPr>
              <w:widowControl w:val="0"/>
              <w:shd w:val="clear" w:color="auto" w:fill="FFFFFF"/>
              <w:tabs>
                <w:tab w:val="left" w:pos="426"/>
                <w:tab w:val="left" w:pos="2062"/>
              </w:tabs>
              <w:spacing w:before="240" w:after="240"/>
              <w:jc w:val="both"/>
              <w:rPr>
                <w:rFonts w:ascii="Arial" w:eastAsia="Arial" w:hAnsi="Arial" w:cs="Arial"/>
                <w:sz w:val="18"/>
                <w:szCs w:val="18"/>
                <w:highlight w:val="white"/>
              </w:rPr>
            </w:pPr>
            <w:r>
              <w:rPr>
                <w:rFonts w:ascii="Arial" w:eastAsia="Arial" w:hAnsi="Arial" w:cs="Arial"/>
                <w:sz w:val="18"/>
                <w:szCs w:val="18"/>
                <w:highlight w:val="white"/>
              </w:rPr>
              <w:t>Teniendo en cuenta que la versión IBOCA 3 incorporó modificaciones sustanciales, tales como: i) la inclusión de la metodología NowCast de la US-EPA para material particulado; ii) el ajuste de los umbrales del índice con base en el enfoque de riesgo en salud, conforme a las Guías de Calidad del Aire de la Organización Mundial de la Salud (OMS) 2021; iii) la articulación comunicativa y pedagógica entre la Secretaría Distrital de Salud (SDS) y la Secretaría Distrital de Ambiente (SDA), mediante la definición de mensajes y herramientas; y iv) el fortalecimiento de la articulación institucional y la capacidad de respuesta para la gestión del riesgo, no se considera necesario adelantar una nueva actualización del índice en el corto plazo.</w:t>
            </w:r>
          </w:p>
          <w:p w14:paraId="0000006B" w14:textId="77777777" w:rsidR="004F5D47" w:rsidRDefault="00000000">
            <w:pPr>
              <w:widowControl w:val="0"/>
              <w:shd w:val="clear" w:color="auto" w:fill="FFFFFF"/>
              <w:tabs>
                <w:tab w:val="left" w:pos="426"/>
                <w:tab w:val="left" w:pos="2062"/>
              </w:tabs>
              <w:spacing w:before="240" w:after="240"/>
              <w:jc w:val="both"/>
              <w:rPr>
                <w:rFonts w:ascii="Arial" w:eastAsia="Arial" w:hAnsi="Arial" w:cs="Arial"/>
                <w:sz w:val="18"/>
                <w:szCs w:val="18"/>
                <w:highlight w:val="white"/>
              </w:rPr>
            </w:pPr>
            <w:r>
              <w:rPr>
                <w:rFonts w:ascii="Arial" w:eastAsia="Arial" w:hAnsi="Arial" w:cs="Arial"/>
                <w:sz w:val="18"/>
                <w:szCs w:val="18"/>
                <w:highlight w:val="white"/>
              </w:rPr>
              <w:t>Así mismo, considerando que el proceso de apropiación social de esta versión se encuentra en curso y requiere un tiempo razonable para su consolidación, se establece la necesidad de priorizar y fortalecer las acciones orientadas a su apropiación, divulgación y comprensión por parte de los diferentes actores involucrados.</w:t>
            </w:r>
          </w:p>
          <w:p w14:paraId="0000006C" w14:textId="77777777" w:rsidR="004F5D47" w:rsidRDefault="00000000">
            <w:pPr>
              <w:widowControl w:val="0"/>
              <w:shd w:val="clear" w:color="auto" w:fill="FFFFFF"/>
              <w:tabs>
                <w:tab w:val="left" w:pos="426"/>
                <w:tab w:val="left" w:pos="2062"/>
              </w:tabs>
              <w:spacing w:before="240" w:after="240"/>
              <w:jc w:val="both"/>
              <w:rPr>
                <w:rFonts w:ascii="Arial" w:eastAsia="Arial" w:hAnsi="Arial" w:cs="Arial"/>
                <w:sz w:val="18"/>
                <w:szCs w:val="18"/>
                <w:highlight w:val="white"/>
              </w:rPr>
            </w:pPr>
            <w:r>
              <w:rPr>
                <w:rFonts w:ascii="Arial" w:eastAsia="Arial" w:hAnsi="Arial" w:cs="Arial"/>
                <w:sz w:val="18"/>
                <w:szCs w:val="18"/>
                <w:highlight w:val="white"/>
              </w:rPr>
              <w:t>En relación con la metodología para la actualización del IBOCA, es importante mencionar que esta puede requerir ajustes en función de múltiples factores, tales como los cambios en las tecnologías de monitoreo, los avances en la evidencia sobre efectos en salud, las dinámicas urbanas y el comportamiento de los contaminantes atmosféricos en interacción con las condiciones meteorológicas. En este sentido, la metodología fue actualizada y se establece su carácter susceptible de ajustes posteriores, de acuerdo con la evolución de dichas condiciones y la disponibilidad de nueva evidencia.</w:t>
            </w:r>
          </w:p>
          <w:p w14:paraId="0000006D" w14:textId="77777777" w:rsidR="004F5D47" w:rsidRDefault="004F5D47">
            <w:pPr>
              <w:widowControl w:val="0"/>
              <w:shd w:val="clear" w:color="auto" w:fill="FFFFFF"/>
              <w:tabs>
                <w:tab w:val="left" w:pos="426"/>
                <w:tab w:val="left" w:pos="2062"/>
              </w:tabs>
              <w:spacing w:before="240" w:after="240"/>
              <w:jc w:val="both"/>
              <w:rPr>
                <w:rFonts w:ascii="Arial" w:eastAsia="Arial" w:hAnsi="Arial" w:cs="Arial"/>
                <w:sz w:val="18"/>
                <w:szCs w:val="18"/>
                <w:highlight w:val="cyan"/>
              </w:rPr>
            </w:pPr>
          </w:p>
        </w:tc>
      </w:tr>
      <w:tr w:rsidR="004F5D47" w14:paraId="78AC5E75" w14:textId="77777777">
        <w:tc>
          <w:tcPr>
            <w:tcW w:w="4414" w:type="dxa"/>
          </w:tcPr>
          <w:p w14:paraId="0000006E" w14:textId="77777777" w:rsidR="004F5D47" w:rsidRDefault="00000000">
            <w:pPr>
              <w:widowControl w:val="0"/>
              <w:shd w:val="clear" w:color="auto" w:fill="FFFFFF"/>
              <w:tabs>
                <w:tab w:val="left" w:pos="2062"/>
              </w:tabs>
              <w:jc w:val="both"/>
              <w:rPr>
                <w:rFonts w:ascii="Arial" w:eastAsia="Arial" w:hAnsi="Arial" w:cs="Arial"/>
                <w:sz w:val="18"/>
                <w:szCs w:val="18"/>
              </w:rPr>
            </w:pPr>
            <w:r>
              <w:rPr>
                <w:rFonts w:ascii="Arial" w:eastAsia="Arial" w:hAnsi="Arial" w:cs="Arial"/>
                <w:sz w:val="18"/>
                <w:szCs w:val="18"/>
              </w:rPr>
              <w:t>ART</w:t>
            </w:r>
            <w:sdt>
              <w:sdtPr>
                <w:tag w:val="goog_rdk_0"/>
                <w:id w:val="186970983"/>
              </w:sdtPr>
              <w:sdtContent>
                <w:commentRangeStart w:id="2"/>
              </w:sdtContent>
            </w:sdt>
            <w:sdt>
              <w:sdtPr>
                <w:tag w:val="goog_rdk_1"/>
                <w:id w:val="952581774"/>
              </w:sdtPr>
              <w:sdtContent>
                <w:commentRangeStart w:id="3"/>
              </w:sdtContent>
            </w:sdt>
            <w:r>
              <w:rPr>
                <w:rFonts w:ascii="Arial" w:eastAsia="Arial" w:hAnsi="Arial" w:cs="Arial"/>
                <w:sz w:val="18"/>
                <w:szCs w:val="18"/>
              </w:rPr>
              <w:t xml:space="preserve">ÍCULO 2. PARTICIPACIÓN. Con el propósito de implementar y divulgar de forma integral la metodología técnica, se promoverán el gobierno abierto y la participación ciudadana, así como los monitoreos territorializados de exposición; teniendo en cuenta los sistemas y equipos de monitoreos de la ciudadanía y la academia como fuentes de información, de manera que complemente la información oficial de la Red de Monitoreo de Calidad del Aire (RMCAB) a través de un modelo de gobernanza del aire. </w:t>
            </w:r>
          </w:p>
          <w:p w14:paraId="0000006F" w14:textId="77777777" w:rsidR="004F5D47" w:rsidRDefault="00000000">
            <w:pPr>
              <w:widowControl w:val="0"/>
              <w:shd w:val="clear" w:color="auto" w:fill="FFFFFF"/>
              <w:tabs>
                <w:tab w:val="left" w:pos="2062"/>
              </w:tabs>
              <w:jc w:val="both"/>
              <w:rPr>
                <w:rFonts w:ascii="Arial" w:eastAsia="Arial" w:hAnsi="Arial" w:cs="Arial"/>
                <w:sz w:val="18"/>
                <w:szCs w:val="18"/>
              </w:rPr>
            </w:pPr>
            <w:r>
              <w:rPr>
                <w:rFonts w:ascii="Arial" w:eastAsia="Arial" w:hAnsi="Arial" w:cs="Arial"/>
                <w:sz w:val="18"/>
                <w:szCs w:val="18"/>
              </w:rPr>
              <w:t xml:space="preserve"> </w:t>
            </w:r>
            <w:commentRangeEnd w:id="2"/>
            <w:r>
              <w:rPr>
                <w:rStyle w:val="Refdecomentario"/>
                <w:rFonts w:ascii="Arial" w:eastAsia="Arial" w:hAnsi="Arial" w:cs="Arial"/>
                <w:sz w:val="18"/>
                <w:szCs w:val="18"/>
              </w:rPr>
              <w:commentReference w:id="2"/>
            </w:r>
            <w:commentRangeEnd w:id="3"/>
            <w:r>
              <w:rPr>
                <w:rStyle w:val="Refdecomentario"/>
                <w:rFonts w:ascii="Arial" w:eastAsia="Arial" w:hAnsi="Arial" w:cs="Arial"/>
                <w:sz w:val="18"/>
                <w:szCs w:val="18"/>
              </w:rPr>
              <w:commentReference w:id="3"/>
            </w:r>
          </w:p>
          <w:p w14:paraId="00000070" w14:textId="77777777" w:rsidR="004F5D47" w:rsidRDefault="00000000">
            <w:pPr>
              <w:widowControl w:val="0"/>
              <w:shd w:val="clear" w:color="auto" w:fill="FFFFFF"/>
              <w:tabs>
                <w:tab w:val="left" w:pos="2062"/>
              </w:tabs>
              <w:jc w:val="both"/>
              <w:rPr>
                <w:rFonts w:ascii="Arial" w:eastAsia="Arial" w:hAnsi="Arial" w:cs="Arial"/>
                <w:sz w:val="18"/>
                <w:szCs w:val="18"/>
              </w:rPr>
            </w:pPr>
            <w:r>
              <w:rPr>
                <w:rFonts w:ascii="Arial" w:eastAsia="Arial" w:hAnsi="Arial" w:cs="Arial"/>
                <w:sz w:val="18"/>
                <w:szCs w:val="18"/>
              </w:rPr>
              <w:t xml:space="preserve">PARÁGRAFO 1. La Administración, en cabeza de la Secretaría Distrital de Ambiente y la Secretaría Distrital de Salud, propenderá por el acceso, uso y aprovechamiento de la información resultante de la medición de la calidad del aire; así como por la formulación y el desarrollo de una estrategia unificada de comunicación y pedagogía, integrando a las diferentes entidades distritales, que oriente a los ciudadanos sobre la interpretación acertada de las plataformas de divulgación del Índice Bogotano de Calidad del Aire – IBOCA y procurando generar redes de investigación. </w:t>
            </w:r>
          </w:p>
          <w:p w14:paraId="00000071" w14:textId="77777777" w:rsidR="004F5D47" w:rsidRDefault="00000000">
            <w:pPr>
              <w:widowControl w:val="0"/>
              <w:shd w:val="clear" w:color="auto" w:fill="FFFFFF"/>
              <w:tabs>
                <w:tab w:val="left" w:pos="2062"/>
              </w:tabs>
              <w:jc w:val="both"/>
              <w:rPr>
                <w:rFonts w:ascii="Arial" w:eastAsia="Arial" w:hAnsi="Arial" w:cs="Arial"/>
                <w:sz w:val="18"/>
                <w:szCs w:val="18"/>
              </w:rPr>
            </w:pPr>
            <w:r>
              <w:rPr>
                <w:rFonts w:ascii="Arial" w:eastAsia="Arial" w:hAnsi="Arial" w:cs="Arial"/>
                <w:sz w:val="18"/>
                <w:szCs w:val="18"/>
              </w:rPr>
              <w:t xml:space="preserve"> </w:t>
            </w:r>
          </w:p>
          <w:p w14:paraId="00000072" w14:textId="77777777" w:rsidR="004F5D47" w:rsidRDefault="00000000">
            <w:pPr>
              <w:widowControl w:val="0"/>
              <w:shd w:val="clear" w:color="auto" w:fill="FFFFFF"/>
              <w:tabs>
                <w:tab w:val="left" w:pos="2062"/>
              </w:tabs>
              <w:jc w:val="both"/>
              <w:rPr>
                <w:rFonts w:ascii="Arial" w:eastAsia="Arial" w:hAnsi="Arial" w:cs="Arial"/>
                <w:sz w:val="18"/>
                <w:szCs w:val="18"/>
              </w:rPr>
            </w:pPr>
            <w:r>
              <w:rPr>
                <w:rFonts w:ascii="Arial" w:eastAsia="Arial" w:hAnsi="Arial" w:cs="Arial"/>
                <w:sz w:val="18"/>
                <w:szCs w:val="18"/>
              </w:rPr>
              <w:t xml:space="preserve">PARÁGRAFO 2. La Administración Distrital propenderá por la articulación con la Gobernación de Cundinamarca y los municipios aledaños para fortalecer el monitoreo regional de la calidad del aire. </w:t>
            </w:r>
          </w:p>
          <w:p w14:paraId="00000073" w14:textId="77777777" w:rsidR="004F5D47" w:rsidRDefault="004F5D47">
            <w:pPr>
              <w:widowControl w:val="0"/>
              <w:pBdr>
                <w:top w:val="nil"/>
                <w:left w:val="nil"/>
                <w:bottom w:val="nil"/>
                <w:right w:val="nil"/>
                <w:between w:val="nil"/>
              </w:pBdr>
              <w:tabs>
                <w:tab w:val="left" w:pos="2062"/>
              </w:tabs>
              <w:spacing w:before="99"/>
              <w:ind w:left="107" w:right="93"/>
              <w:jc w:val="both"/>
              <w:rPr>
                <w:rFonts w:ascii="Arial" w:eastAsia="Arial" w:hAnsi="Arial" w:cs="Arial"/>
                <w:sz w:val="18"/>
                <w:szCs w:val="18"/>
              </w:rPr>
            </w:pPr>
          </w:p>
        </w:tc>
        <w:tc>
          <w:tcPr>
            <w:tcW w:w="4414" w:type="dxa"/>
          </w:tcPr>
          <w:p w14:paraId="00000074" w14:textId="77777777" w:rsidR="004F5D47" w:rsidRDefault="004F5D47">
            <w:pPr>
              <w:widowControl w:val="0"/>
              <w:shd w:val="clear" w:color="auto" w:fill="FFFFFF"/>
              <w:tabs>
                <w:tab w:val="left" w:pos="426"/>
                <w:tab w:val="left" w:pos="2062"/>
              </w:tabs>
              <w:jc w:val="both"/>
              <w:rPr>
                <w:rFonts w:ascii="Arial" w:eastAsia="Arial" w:hAnsi="Arial" w:cs="Arial"/>
                <w:sz w:val="18"/>
                <w:szCs w:val="18"/>
              </w:rPr>
            </w:pPr>
          </w:p>
          <w:p w14:paraId="00000075" w14:textId="77777777" w:rsidR="004F5D47" w:rsidRDefault="00000000">
            <w:pPr>
              <w:widowControl w:val="0"/>
              <w:shd w:val="clear" w:color="auto" w:fill="FFFFFF"/>
              <w:tabs>
                <w:tab w:val="left" w:pos="426"/>
                <w:tab w:val="left" w:pos="2062"/>
              </w:tabs>
              <w:jc w:val="both"/>
              <w:rPr>
                <w:rFonts w:ascii="Arial" w:eastAsia="Arial" w:hAnsi="Arial" w:cs="Arial"/>
                <w:sz w:val="18"/>
                <w:szCs w:val="18"/>
              </w:rPr>
            </w:pPr>
            <w:sdt>
              <w:sdtPr>
                <w:tag w:val="goog_rdk_2"/>
                <w:id w:val="2094947893"/>
              </w:sdtPr>
              <w:sdtContent>
                <w:commentRangeStart w:id="4"/>
              </w:sdtContent>
            </w:sdt>
            <w:r>
              <w:rPr>
                <w:rFonts w:ascii="Arial" w:eastAsia="Arial" w:hAnsi="Arial" w:cs="Arial"/>
                <w:sz w:val="18"/>
                <w:szCs w:val="18"/>
              </w:rPr>
              <w:t>En relación con la comunicación y pedagogía del IBOCA, la SDA y la SDS en la Resolución Conjunta 2840 de 2023, establecieron en el  artículo 16 los lineamientos de la Estrategia Pedagógica y Comunicativa del IBOCA. Al respecto, para el presente informe se realizó la implementación del proyecto “Gobernanza del aire por medio de una estrategia comunicativa y pedagógica para generar apropiación social del IBOCA”. Los avances de esta implementación se describen en el capítulo 4. (Anexo 4_EPCI).</w:t>
            </w:r>
            <w:commentRangeEnd w:id="4"/>
            <w:r>
              <w:rPr>
                <w:rStyle w:val="Refdecomentario"/>
                <w:rFonts w:ascii="Arial" w:eastAsia="Arial" w:hAnsi="Arial" w:cs="Arial"/>
                <w:sz w:val="18"/>
                <w:szCs w:val="18"/>
              </w:rPr>
              <w:commentReference w:id="4"/>
            </w:r>
          </w:p>
          <w:p w14:paraId="00000076" w14:textId="77777777" w:rsidR="004F5D47" w:rsidRDefault="004F5D47">
            <w:pPr>
              <w:widowControl w:val="0"/>
              <w:shd w:val="clear" w:color="auto" w:fill="FFFFFF"/>
              <w:tabs>
                <w:tab w:val="left" w:pos="426"/>
                <w:tab w:val="left" w:pos="2062"/>
              </w:tabs>
              <w:jc w:val="both"/>
              <w:rPr>
                <w:rFonts w:ascii="Arial" w:eastAsia="Arial" w:hAnsi="Arial" w:cs="Arial"/>
                <w:sz w:val="18"/>
                <w:szCs w:val="18"/>
              </w:rPr>
            </w:pPr>
          </w:p>
          <w:p w14:paraId="00000077" w14:textId="77777777" w:rsidR="004F5D47" w:rsidRDefault="004F5D47">
            <w:pPr>
              <w:widowControl w:val="0"/>
              <w:shd w:val="clear" w:color="auto" w:fill="FFFFFF"/>
              <w:tabs>
                <w:tab w:val="left" w:pos="426"/>
                <w:tab w:val="left" w:pos="2062"/>
              </w:tabs>
              <w:jc w:val="both"/>
              <w:rPr>
                <w:rFonts w:ascii="Arial" w:eastAsia="Arial" w:hAnsi="Arial" w:cs="Arial"/>
                <w:sz w:val="18"/>
                <w:szCs w:val="18"/>
              </w:rPr>
            </w:pPr>
          </w:p>
          <w:p w14:paraId="00000078" w14:textId="77777777" w:rsidR="004F5D47" w:rsidRDefault="00000000">
            <w:pPr>
              <w:widowControl w:val="0"/>
              <w:shd w:val="clear" w:color="auto" w:fill="FFFFFF"/>
              <w:tabs>
                <w:tab w:val="left" w:pos="426"/>
                <w:tab w:val="left" w:pos="2062"/>
              </w:tabs>
              <w:jc w:val="both"/>
              <w:rPr>
                <w:rFonts w:ascii="Arial" w:eastAsia="Arial" w:hAnsi="Arial" w:cs="Arial"/>
                <w:sz w:val="18"/>
                <w:szCs w:val="18"/>
              </w:rPr>
            </w:pPr>
            <w:r>
              <w:rPr>
                <w:rFonts w:ascii="Arial" w:eastAsia="Arial" w:hAnsi="Arial" w:cs="Arial"/>
                <w:sz w:val="18"/>
                <w:szCs w:val="18"/>
              </w:rPr>
              <w:t>Así mismo, como parte de las actividades desarrolladas en el proyecto de cooperación internacional Avantia, se diseñaron e implementaron estrategias y talleres de participación ciudadana con el apoyo del Instituto de Salud Global de Barcelona (ISGlobal). Dichas actividades se enfocaron en estudiantes de colegio, colectivos de mujeres ciclistas y población mayor de 60 años.</w:t>
            </w:r>
          </w:p>
          <w:p w14:paraId="00000079" w14:textId="77777777" w:rsidR="004F5D47" w:rsidRDefault="004F5D47">
            <w:pPr>
              <w:widowControl w:val="0"/>
              <w:shd w:val="clear" w:color="auto" w:fill="FFFFFF"/>
              <w:tabs>
                <w:tab w:val="left" w:pos="426"/>
                <w:tab w:val="left" w:pos="2062"/>
              </w:tabs>
              <w:jc w:val="both"/>
              <w:rPr>
                <w:rFonts w:ascii="Arial" w:eastAsia="Arial" w:hAnsi="Arial" w:cs="Arial"/>
                <w:sz w:val="18"/>
                <w:szCs w:val="18"/>
              </w:rPr>
            </w:pPr>
          </w:p>
          <w:p w14:paraId="0000007A" w14:textId="77777777" w:rsidR="004F5D47" w:rsidRDefault="004F5D47">
            <w:pPr>
              <w:widowControl w:val="0"/>
              <w:pBdr>
                <w:top w:val="nil"/>
                <w:left w:val="nil"/>
                <w:bottom w:val="nil"/>
                <w:right w:val="nil"/>
                <w:between w:val="nil"/>
              </w:pBdr>
              <w:tabs>
                <w:tab w:val="left" w:pos="426"/>
                <w:tab w:val="left" w:pos="2062"/>
              </w:tabs>
              <w:ind w:right="937"/>
              <w:jc w:val="center"/>
              <w:rPr>
                <w:rFonts w:ascii="Arial" w:eastAsia="Arial" w:hAnsi="Arial" w:cs="Arial"/>
                <w:sz w:val="18"/>
                <w:szCs w:val="18"/>
              </w:rPr>
            </w:pPr>
          </w:p>
        </w:tc>
      </w:tr>
      <w:tr w:rsidR="004F5D47" w14:paraId="07B09A68" w14:textId="77777777">
        <w:tc>
          <w:tcPr>
            <w:tcW w:w="4414" w:type="dxa"/>
          </w:tcPr>
          <w:p w14:paraId="0000007B" w14:textId="77777777" w:rsidR="004F5D47" w:rsidRDefault="00000000">
            <w:pPr>
              <w:widowControl w:val="0"/>
              <w:pBdr>
                <w:top w:val="nil"/>
                <w:left w:val="nil"/>
                <w:bottom w:val="nil"/>
                <w:right w:val="nil"/>
                <w:between w:val="nil"/>
              </w:pBdr>
              <w:tabs>
                <w:tab w:val="left" w:pos="426"/>
              </w:tabs>
              <w:jc w:val="both"/>
              <w:rPr>
                <w:rFonts w:ascii="Arial" w:eastAsia="Arial" w:hAnsi="Arial" w:cs="Arial"/>
                <w:color w:val="000000"/>
                <w:sz w:val="18"/>
                <w:szCs w:val="18"/>
              </w:rPr>
            </w:pPr>
            <w:r>
              <w:rPr>
                <w:rFonts w:ascii="Arial" w:eastAsia="Arial" w:hAnsi="Arial" w:cs="Arial"/>
                <w:color w:val="000000"/>
                <w:sz w:val="18"/>
                <w:szCs w:val="18"/>
              </w:rPr>
              <w:t>ARTÍCULO 3. FORTALECIMIENTO DE LA RED DE MONITOREO DE CALIDAD DEL AIRE. La Administración, en cabeza de la Secretaría Distrital de Ambiente, promoverá el mejoramiento y fortalecimiento de la Red de Monitoreo de Calidad del Aire (RMCAB), con el fin de garantizar la captura de datos precisos y certeros sobre la concentración del material particulado y otros tipos de contaminantes atmosféricos, para que sean considerados en los ajustes futuros del índice.</w:t>
            </w:r>
          </w:p>
        </w:tc>
        <w:tc>
          <w:tcPr>
            <w:tcW w:w="4414" w:type="dxa"/>
          </w:tcPr>
          <w:p w14:paraId="0000007C" w14:textId="77777777" w:rsidR="004F5D47" w:rsidRDefault="004F5D47">
            <w:pPr>
              <w:widowControl w:val="0"/>
              <w:pBdr>
                <w:top w:val="nil"/>
                <w:left w:val="nil"/>
                <w:bottom w:val="nil"/>
                <w:right w:val="nil"/>
                <w:between w:val="nil"/>
              </w:pBdr>
              <w:tabs>
                <w:tab w:val="left" w:pos="426"/>
                <w:tab w:val="left" w:pos="2062"/>
              </w:tabs>
              <w:ind w:right="937"/>
              <w:jc w:val="center"/>
              <w:rPr>
                <w:rFonts w:ascii="Arial" w:eastAsia="Arial" w:hAnsi="Arial" w:cs="Arial"/>
                <w:sz w:val="18"/>
                <w:szCs w:val="18"/>
              </w:rPr>
            </w:pPr>
          </w:p>
          <w:p w14:paraId="0000007D" w14:textId="77777777" w:rsidR="004F5D47" w:rsidRDefault="00000000">
            <w:pPr>
              <w:widowControl w:val="0"/>
              <w:pBdr>
                <w:top w:val="nil"/>
                <w:left w:val="nil"/>
                <w:bottom w:val="nil"/>
                <w:right w:val="nil"/>
                <w:between w:val="nil"/>
              </w:pBdr>
              <w:tabs>
                <w:tab w:val="left" w:pos="426"/>
                <w:tab w:val="left" w:pos="2062"/>
              </w:tabs>
              <w:ind w:right="89"/>
              <w:jc w:val="both"/>
              <w:rPr>
                <w:rFonts w:ascii="Arial" w:eastAsia="Arial" w:hAnsi="Arial" w:cs="Arial"/>
                <w:sz w:val="18"/>
                <w:szCs w:val="18"/>
              </w:rPr>
            </w:pPr>
            <w:r>
              <w:rPr>
                <w:rFonts w:ascii="Arial" w:eastAsia="Arial" w:hAnsi="Arial" w:cs="Arial"/>
                <w:sz w:val="18"/>
                <w:szCs w:val="18"/>
              </w:rPr>
              <w:t>En el capítulo 5 de este informe se presenta lo concerniente al fortalecimiento de la Red de Monitoreo de Calidad del Aire (RMCAB), al desarrollo de la red colaborativa de microsensores de calidad del aire y al monitoreo de black carbon en la ciudad.</w:t>
            </w:r>
          </w:p>
        </w:tc>
      </w:tr>
      <w:tr w:rsidR="004F5D47" w14:paraId="1D202A7A" w14:textId="77777777">
        <w:tc>
          <w:tcPr>
            <w:tcW w:w="4414" w:type="dxa"/>
          </w:tcPr>
          <w:p w14:paraId="0000007E" w14:textId="77777777" w:rsidR="004F5D47" w:rsidRDefault="00000000">
            <w:pPr>
              <w:jc w:val="both"/>
              <w:rPr>
                <w:rFonts w:ascii="Arial" w:eastAsia="Arial" w:hAnsi="Arial" w:cs="Arial"/>
                <w:sz w:val="18"/>
                <w:szCs w:val="18"/>
              </w:rPr>
            </w:pPr>
            <w:r>
              <w:rPr>
                <w:rFonts w:ascii="Arial" w:eastAsia="Arial" w:hAnsi="Arial" w:cs="Arial"/>
                <w:sz w:val="18"/>
                <w:szCs w:val="18"/>
              </w:rPr>
              <w:t>ARTÍCULO 4. LINEAMIENTOS PARA LA IMPLEMENTACIÓN DE LA METODOLOGÍA. La Administración, en cabeza de la Secretaría Distrital de Ambiente y la Secretaría Distrital de Salud, tendrá en cuenta como mínimo, los siguientes lineamientos para la implementación de la metodología:</w:t>
            </w:r>
          </w:p>
          <w:p w14:paraId="0000007F" w14:textId="77777777" w:rsidR="004F5D47" w:rsidRDefault="00000000">
            <w:pPr>
              <w:jc w:val="both"/>
              <w:rPr>
                <w:rFonts w:ascii="Arial" w:eastAsia="Arial" w:hAnsi="Arial" w:cs="Arial"/>
                <w:sz w:val="18"/>
                <w:szCs w:val="18"/>
              </w:rPr>
            </w:pPr>
            <w:r>
              <w:rPr>
                <w:rFonts w:ascii="Arial" w:eastAsia="Arial" w:hAnsi="Arial" w:cs="Arial"/>
                <w:sz w:val="18"/>
                <w:szCs w:val="18"/>
              </w:rPr>
              <w:t>-Rigor subsidiario frente a normas nacionales.</w:t>
            </w:r>
          </w:p>
          <w:p w14:paraId="00000080" w14:textId="77777777" w:rsidR="004F5D47" w:rsidRDefault="00000000">
            <w:pPr>
              <w:jc w:val="both"/>
              <w:rPr>
                <w:rFonts w:ascii="Arial" w:eastAsia="Arial" w:hAnsi="Arial" w:cs="Arial"/>
                <w:sz w:val="18"/>
                <w:szCs w:val="18"/>
              </w:rPr>
            </w:pPr>
            <w:r>
              <w:rPr>
                <w:rFonts w:ascii="Arial" w:eastAsia="Arial" w:hAnsi="Arial" w:cs="Arial"/>
                <w:sz w:val="18"/>
                <w:szCs w:val="18"/>
              </w:rPr>
              <w:t>-Comportamiento de los episodios agudos de contaminación.</w:t>
            </w:r>
          </w:p>
          <w:p w14:paraId="00000081" w14:textId="77777777" w:rsidR="004F5D47" w:rsidRDefault="00000000">
            <w:pPr>
              <w:jc w:val="both"/>
              <w:rPr>
                <w:rFonts w:ascii="Arial" w:eastAsia="Arial" w:hAnsi="Arial" w:cs="Arial"/>
                <w:sz w:val="18"/>
                <w:szCs w:val="18"/>
              </w:rPr>
            </w:pPr>
            <w:r>
              <w:rPr>
                <w:rFonts w:ascii="Arial" w:eastAsia="Arial" w:hAnsi="Arial" w:cs="Arial"/>
                <w:sz w:val="18"/>
                <w:szCs w:val="18"/>
              </w:rPr>
              <w:t>-Comportamiento de los episodios crónicos de contaminación.</w:t>
            </w:r>
          </w:p>
          <w:p w14:paraId="00000082" w14:textId="77777777" w:rsidR="004F5D47" w:rsidRDefault="00000000">
            <w:pPr>
              <w:jc w:val="both"/>
              <w:rPr>
                <w:rFonts w:ascii="Arial" w:eastAsia="Arial" w:hAnsi="Arial" w:cs="Arial"/>
                <w:sz w:val="18"/>
                <w:szCs w:val="18"/>
              </w:rPr>
            </w:pPr>
            <w:r>
              <w:rPr>
                <w:rFonts w:ascii="Arial" w:eastAsia="Arial" w:hAnsi="Arial" w:cs="Arial"/>
                <w:sz w:val="18"/>
                <w:szCs w:val="18"/>
              </w:rPr>
              <w:t>-Dinámicas propias de la ciudad, en términos de comportamiento de contaminantes y meteorología.</w:t>
            </w:r>
          </w:p>
          <w:p w14:paraId="00000083" w14:textId="77777777" w:rsidR="004F5D47" w:rsidRDefault="00000000">
            <w:pPr>
              <w:jc w:val="both"/>
              <w:rPr>
                <w:rFonts w:ascii="Arial" w:eastAsia="Arial" w:hAnsi="Arial" w:cs="Arial"/>
                <w:sz w:val="18"/>
                <w:szCs w:val="18"/>
              </w:rPr>
            </w:pPr>
            <w:r>
              <w:rPr>
                <w:rFonts w:ascii="Arial" w:eastAsia="Arial" w:hAnsi="Arial" w:cs="Arial"/>
                <w:sz w:val="18"/>
                <w:szCs w:val="18"/>
              </w:rPr>
              <w:t>-Fortalecimiento de la gestión del riesgo por contaminación atmosférica.</w:t>
            </w:r>
          </w:p>
          <w:p w14:paraId="00000084" w14:textId="77777777" w:rsidR="004F5D47" w:rsidRDefault="00000000">
            <w:pPr>
              <w:jc w:val="both"/>
              <w:rPr>
                <w:rFonts w:ascii="Arial" w:eastAsia="Arial" w:hAnsi="Arial" w:cs="Arial"/>
                <w:sz w:val="18"/>
                <w:szCs w:val="18"/>
              </w:rPr>
            </w:pPr>
            <w:r>
              <w:rPr>
                <w:rFonts w:ascii="Arial" w:eastAsia="Arial" w:hAnsi="Arial" w:cs="Arial"/>
                <w:sz w:val="18"/>
                <w:szCs w:val="18"/>
              </w:rPr>
              <w:t>-Las recomendaciones de la OMS para contaminantes criterios.</w:t>
            </w:r>
          </w:p>
        </w:tc>
        <w:tc>
          <w:tcPr>
            <w:tcW w:w="4414" w:type="dxa"/>
          </w:tcPr>
          <w:p w14:paraId="00000085" w14:textId="77777777" w:rsidR="004F5D47" w:rsidRDefault="004F5D47">
            <w:pPr>
              <w:widowControl w:val="0"/>
              <w:pBdr>
                <w:top w:val="nil"/>
                <w:left w:val="nil"/>
                <w:bottom w:val="nil"/>
                <w:right w:val="nil"/>
                <w:between w:val="nil"/>
              </w:pBdr>
              <w:tabs>
                <w:tab w:val="left" w:pos="426"/>
                <w:tab w:val="left" w:pos="2062"/>
              </w:tabs>
              <w:ind w:right="937"/>
              <w:jc w:val="center"/>
              <w:rPr>
                <w:rFonts w:ascii="Arial" w:eastAsia="Arial" w:hAnsi="Arial" w:cs="Arial"/>
                <w:sz w:val="18"/>
                <w:szCs w:val="18"/>
              </w:rPr>
            </w:pPr>
          </w:p>
          <w:p w14:paraId="00000086" w14:textId="77777777" w:rsidR="004F5D47" w:rsidRDefault="00000000">
            <w:pPr>
              <w:widowControl w:val="0"/>
              <w:shd w:val="clear" w:color="auto" w:fill="FFFFFF"/>
              <w:tabs>
                <w:tab w:val="left" w:pos="426"/>
                <w:tab w:val="left" w:pos="2062"/>
              </w:tabs>
              <w:jc w:val="both"/>
              <w:rPr>
                <w:rFonts w:ascii="Arial" w:eastAsia="Arial" w:hAnsi="Arial" w:cs="Arial"/>
                <w:sz w:val="18"/>
                <w:szCs w:val="18"/>
                <w:highlight w:val="white"/>
              </w:rPr>
            </w:pPr>
            <w:r>
              <w:rPr>
                <w:rFonts w:ascii="Arial" w:eastAsia="Arial" w:hAnsi="Arial" w:cs="Arial"/>
                <w:sz w:val="18"/>
                <w:szCs w:val="18"/>
                <w:highlight w:val="white"/>
              </w:rPr>
              <w:t>Para el periodo comprendido entre marzo del 2025 a febrero del 2026, durante la  implementación de metodología propuesta se incluyeron los aspectos indicados en este artículo.</w:t>
            </w:r>
          </w:p>
          <w:p w14:paraId="00000087" w14:textId="77777777" w:rsidR="004F5D47" w:rsidRDefault="00000000">
            <w:pPr>
              <w:widowControl w:val="0"/>
              <w:shd w:val="clear" w:color="auto" w:fill="FFFFFF"/>
              <w:tabs>
                <w:tab w:val="left" w:pos="426"/>
                <w:tab w:val="left" w:pos="2062"/>
              </w:tabs>
              <w:spacing w:before="240" w:after="240"/>
              <w:jc w:val="both"/>
              <w:rPr>
                <w:rFonts w:ascii="Arial" w:eastAsia="Arial" w:hAnsi="Arial" w:cs="Arial"/>
                <w:sz w:val="18"/>
                <w:szCs w:val="18"/>
                <w:highlight w:val="white"/>
              </w:rPr>
            </w:pPr>
            <w:r>
              <w:rPr>
                <w:rFonts w:ascii="Arial" w:eastAsia="Arial" w:hAnsi="Arial" w:cs="Arial"/>
                <w:sz w:val="18"/>
                <w:szCs w:val="18"/>
                <w:highlight w:val="white"/>
              </w:rPr>
              <w:t>En relación con la metodología para la actualización del IBOCA, es importante mencionar que esta puede requerir ajustes en función de múltiples factores, tales como los cambios en las tecnologías de monitoreo, los avances en la evidencia sobre efectos en salud, las dinámicas urbanas y el comportamiento de los contaminantes atmosféricos en interacción con las condiciones meteorológicas. En este sentido, la metodología fue actualizada y se establece su carácter susceptible de ajustes posteriores, de acuerdo con la evolución de dichas condiciones y la disponibilidad de nueva evidencia.</w:t>
            </w:r>
          </w:p>
          <w:p w14:paraId="00000088" w14:textId="77777777" w:rsidR="004F5D47" w:rsidRDefault="004F5D47">
            <w:pPr>
              <w:widowControl w:val="0"/>
              <w:shd w:val="clear" w:color="auto" w:fill="FFFFFF"/>
              <w:tabs>
                <w:tab w:val="left" w:pos="426"/>
                <w:tab w:val="left" w:pos="2062"/>
              </w:tabs>
              <w:jc w:val="both"/>
              <w:rPr>
                <w:rFonts w:ascii="Arial" w:eastAsia="Arial" w:hAnsi="Arial" w:cs="Arial"/>
                <w:sz w:val="18"/>
                <w:szCs w:val="18"/>
              </w:rPr>
            </w:pPr>
          </w:p>
          <w:p w14:paraId="00000089" w14:textId="77777777" w:rsidR="004F5D47" w:rsidRDefault="00000000">
            <w:pPr>
              <w:widowControl w:val="0"/>
              <w:shd w:val="clear" w:color="auto" w:fill="FFFFFF"/>
              <w:tabs>
                <w:tab w:val="left" w:pos="426"/>
                <w:tab w:val="left" w:pos="2062"/>
              </w:tabs>
              <w:jc w:val="both"/>
              <w:rPr>
                <w:rFonts w:ascii="Arial" w:eastAsia="Arial" w:hAnsi="Arial" w:cs="Arial"/>
                <w:sz w:val="18"/>
                <w:szCs w:val="18"/>
              </w:rPr>
            </w:pPr>
            <w:r>
              <w:rPr>
                <w:rFonts w:ascii="Arial" w:eastAsia="Arial" w:hAnsi="Arial" w:cs="Arial"/>
                <w:sz w:val="18"/>
                <w:szCs w:val="18"/>
              </w:rPr>
              <w:t xml:space="preserve"> </w:t>
            </w:r>
          </w:p>
          <w:p w14:paraId="0000008A" w14:textId="77777777" w:rsidR="004F5D47" w:rsidRDefault="004F5D47">
            <w:pPr>
              <w:widowControl w:val="0"/>
              <w:pBdr>
                <w:top w:val="nil"/>
                <w:left w:val="nil"/>
                <w:bottom w:val="nil"/>
                <w:right w:val="nil"/>
                <w:between w:val="nil"/>
              </w:pBdr>
              <w:tabs>
                <w:tab w:val="left" w:pos="426"/>
                <w:tab w:val="left" w:pos="2062"/>
              </w:tabs>
              <w:ind w:right="18"/>
              <w:jc w:val="both"/>
              <w:rPr>
                <w:rFonts w:ascii="Arial" w:eastAsia="Arial" w:hAnsi="Arial" w:cs="Arial"/>
                <w:color w:val="000000"/>
                <w:sz w:val="18"/>
                <w:szCs w:val="18"/>
              </w:rPr>
            </w:pPr>
          </w:p>
        </w:tc>
      </w:tr>
      <w:tr w:rsidR="004F5D47" w14:paraId="760A419D" w14:textId="77777777">
        <w:tc>
          <w:tcPr>
            <w:tcW w:w="4414" w:type="dxa"/>
          </w:tcPr>
          <w:p w14:paraId="0000008B" w14:textId="77777777" w:rsidR="004F5D47" w:rsidRDefault="00000000">
            <w:pPr>
              <w:widowControl w:val="0"/>
              <w:pBdr>
                <w:top w:val="nil"/>
                <w:left w:val="nil"/>
                <w:bottom w:val="nil"/>
                <w:right w:val="nil"/>
                <w:between w:val="nil"/>
              </w:pBdr>
              <w:tabs>
                <w:tab w:val="left" w:pos="2062"/>
              </w:tabs>
              <w:spacing w:before="97"/>
              <w:ind w:right="100"/>
              <w:jc w:val="both"/>
              <w:rPr>
                <w:rFonts w:ascii="Arial" w:eastAsia="Arial" w:hAnsi="Arial" w:cs="Arial"/>
                <w:color w:val="000000"/>
                <w:sz w:val="18"/>
                <w:szCs w:val="18"/>
              </w:rPr>
            </w:pPr>
            <w:r>
              <w:rPr>
                <w:rFonts w:ascii="Arial" w:eastAsia="Arial" w:hAnsi="Arial" w:cs="Arial"/>
                <w:color w:val="000000"/>
                <w:sz w:val="18"/>
                <w:szCs w:val="18"/>
              </w:rPr>
              <w:t>ARTÍCULO 5. INFORME DE LOGROS DE LA IMPLEMENTACIÓN DE LA METODOLOGÍA. La Administración, en cabeza de la Secretaría Distrital de Ambiente y la Secretaría Distrital de Salud, presentará anualmente un informe que tenga divulgación pública, sobre los avances en la formulación y/o implementación de la metodología, regulada en el presente Acuerdo.</w:t>
            </w:r>
          </w:p>
          <w:p w14:paraId="0000008C" w14:textId="77777777" w:rsidR="004F5D47" w:rsidRDefault="004F5D47">
            <w:pPr>
              <w:widowControl w:val="0"/>
              <w:pBdr>
                <w:top w:val="nil"/>
                <w:left w:val="nil"/>
                <w:bottom w:val="nil"/>
                <w:right w:val="nil"/>
                <w:between w:val="nil"/>
              </w:pBdr>
              <w:tabs>
                <w:tab w:val="left" w:pos="2062"/>
              </w:tabs>
              <w:spacing w:before="11"/>
              <w:jc w:val="both"/>
              <w:rPr>
                <w:rFonts w:ascii="Arial" w:eastAsia="Arial" w:hAnsi="Arial" w:cs="Arial"/>
                <w:color w:val="000000"/>
                <w:sz w:val="18"/>
                <w:szCs w:val="18"/>
              </w:rPr>
            </w:pPr>
          </w:p>
          <w:p w14:paraId="0000008D" w14:textId="77777777" w:rsidR="004F5D47" w:rsidRDefault="00000000">
            <w:pPr>
              <w:jc w:val="both"/>
              <w:rPr>
                <w:rFonts w:ascii="Arial" w:eastAsia="Arial" w:hAnsi="Arial" w:cs="Arial"/>
                <w:sz w:val="18"/>
                <w:szCs w:val="18"/>
              </w:rPr>
            </w:pPr>
            <w:r>
              <w:rPr>
                <w:rFonts w:ascii="Arial" w:eastAsia="Arial" w:hAnsi="Arial" w:cs="Arial"/>
                <w:sz w:val="18"/>
                <w:szCs w:val="18"/>
              </w:rPr>
              <w:t>PARÁGRAFO 1. La Administración Distrital propenderá por la formulación de la metodología, el año siguiente a la entrada en vigencia del presente Acuerdo.</w:t>
            </w:r>
          </w:p>
          <w:p w14:paraId="0000008E" w14:textId="77777777" w:rsidR="004F5D47" w:rsidRDefault="004F5D47">
            <w:pPr>
              <w:jc w:val="both"/>
              <w:rPr>
                <w:rFonts w:ascii="Arial" w:eastAsia="Arial" w:hAnsi="Arial" w:cs="Arial"/>
                <w:sz w:val="18"/>
                <w:szCs w:val="18"/>
              </w:rPr>
            </w:pPr>
          </w:p>
          <w:p w14:paraId="0000008F" w14:textId="77777777" w:rsidR="004F5D47" w:rsidRDefault="00000000">
            <w:pPr>
              <w:jc w:val="both"/>
              <w:rPr>
                <w:rFonts w:ascii="Arial" w:eastAsia="Arial" w:hAnsi="Arial" w:cs="Arial"/>
                <w:sz w:val="18"/>
                <w:szCs w:val="18"/>
              </w:rPr>
            </w:pPr>
            <w:r>
              <w:rPr>
                <w:rFonts w:ascii="Arial" w:eastAsia="Arial" w:hAnsi="Arial" w:cs="Arial"/>
                <w:sz w:val="18"/>
                <w:szCs w:val="18"/>
              </w:rPr>
              <w:t>PARÁGRAFO 2. El informe incluirá un consolidado de las denuncias ciudadanas, sobre las situaciones que afectan la calidad del aire de la ciudad.</w:t>
            </w:r>
          </w:p>
        </w:tc>
        <w:tc>
          <w:tcPr>
            <w:tcW w:w="4414" w:type="dxa"/>
          </w:tcPr>
          <w:p w14:paraId="00000090" w14:textId="77777777" w:rsidR="004F5D47" w:rsidRDefault="004F5D47">
            <w:pPr>
              <w:widowControl w:val="0"/>
              <w:pBdr>
                <w:top w:val="nil"/>
                <w:left w:val="nil"/>
                <w:bottom w:val="nil"/>
                <w:right w:val="nil"/>
                <w:between w:val="nil"/>
              </w:pBdr>
              <w:tabs>
                <w:tab w:val="left" w:pos="426"/>
                <w:tab w:val="left" w:pos="2062"/>
              </w:tabs>
              <w:ind w:right="937"/>
              <w:jc w:val="center"/>
              <w:rPr>
                <w:rFonts w:ascii="Arial" w:eastAsia="Arial" w:hAnsi="Arial" w:cs="Arial"/>
                <w:sz w:val="22"/>
                <w:szCs w:val="22"/>
              </w:rPr>
            </w:pPr>
          </w:p>
          <w:p w14:paraId="00000091" w14:textId="77777777" w:rsidR="004F5D47" w:rsidRDefault="00000000">
            <w:pPr>
              <w:widowControl w:val="0"/>
              <w:shd w:val="clear" w:color="auto" w:fill="FFFFFF"/>
              <w:tabs>
                <w:tab w:val="left" w:pos="426"/>
                <w:tab w:val="left" w:pos="2062"/>
              </w:tabs>
              <w:jc w:val="both"/>
              <w:rPr>
                <w:rFonts w:ascii="Arial" w:eastAsia="Arial" w:hAnsi="Arial" w:cs="Arial"/>
                <w:sz w:val="18"/>
                <w:szCs w:val="18"/>
              </w:rPr>
            </w:pPr>
            <w:r>
              <w:rPr>
                <w:rFonts w:ascii="Arial" w:eastAsia="Arial" w:hAnsi="Arial" w:cs="Arial"/>
                <w:sz w:val="18"/>
                <w:szCs w:val="18"/>
              </w:rPr>
              <w:t xml:space="preserve">El presente documento da cumplimiento al informe referido en este artículo, con corte a febrero del 2026, e incluye los avances en la implementación de la metodología para la evaluación y ajuste periódico del IBOCA (Anexo 1). </w:t>
            </w:r>
          </w:p>
          <w:p w14:paraId="00000092" w14:textId="77777777" w:rsidR="004F5D47" w:rsidRDefault="00000000">
            <w:pPr>
              <w:widowControl w:val="0"/>
              <w:shd w:val="clear" w:color="auto" w:fill="FFFFFF"/>
              <w:tabs>
                <w:tab w:val="left" w:pos="426"/>
                <w:tab w:val="left" w:pos="2062"/>
              </w:tabs>
              <w:jc w:val="both"/>
              <w:rPr>
                <w:rFonts w:ascii="Arial" w:eastAsia="Arial" w:hAnsi="Arial" w:cs="Arial"/>
                <w:sz w:val="18"/>
                <w:szCs w:val="18"/>
              </w:rPr>
            </w:pPr>
            <w:r>
              <w:rPr>
                <w:rFonts w:ascii="Arial" w:eastAsia="Arial" w:hAnsi="Arial" w:cs="Arial"/>
                <w:sz w:val="18"/>
                <w:szCs w:val="18"/>
              </w:rPr>
              <w:t xml:space="preserve"> </w:t>
            </w:r>
          </w:p>
          <w:p w14:paraId="00000093" w14:textId="77777777" w:rsidR="004F5D47" w:rsidRDefault="00000000">
            <w:pPr>
              <w:widowControl w:val="0"/>
              <w:shd w:val="clear" w:color="auto" w:fill="FFFFFF"/>
              <w:tabs>
                <w:tab w:val="left" w:pos="426"/>
                <w:tab w:val="left" w:pos="2062"/>
              </w:tabs>
              <w:jc w:val="both"/>
              <w:rPr>
                <w:rFonts w:ascii="Arial" w:eastAsia="Arial" w:hAnsi="Arial" w:cs="Arial"/>
                <w:sz w:val="18"/>
                <w:szCs w:val="18"/>
              </w:rPr>
            </w:pPr>
            <w:r>
              <w:rPr>
                <w:rFonts w:ascii="Arial" w:eastAsia="Arial" w:hAnsi="Arial" w:cs="Arial"/>
                <w:sz w:val="18"/>
                <w:szCs w:val="18"/>
              </w:rPr>
              <w:t xml:space="preserve">En el capítulo 4 se presenta el consolidado de las denuncias ciudadanas sobre las situaciones que afectan la calidad del aire, referido en el parágrafo 2 de este artículo. con corte a febrero de 2026. </w:t>
            </w:r>
          </w:p>
          <w:p w14:paraId="00000094" w14:textId="77777777" w:rsidR="004F5D47" w:rsidRDefault="004F5D47">
            <w:pPr>
              <w:widowControl w:val="0"/>
              <w:pBdr>
                <w:top w:val="nil"/>
                <w:left w:val="nil"/>
                <w:bottom w:val="nil"/>
                <w:right w:val="nil"/>
                <w:between w:val="nil"/>
              </w:pBdr>
              <w:tabs>
                <w:tab w:val="left" w:pos="426"/>
                <w:tab w:val="left" w:pos="2062"/>
              </w:tabs>
              <w:ind w:right="937"/>
              <w:jc w:val="center"/>
              <w:rPr>
                <w:rFonts w:ascii="Arial" w:eastAsia="Arial" w:hAnsi="Arial" w:cs="Arial"/>
                <w:sz w:val="22"/>
                <w:szCs w:val="22"/>
              </w:rPr>
            </w:pPr>
          </w:p>
        </w:tc>
      </w:tr>
    </w:tbl>
    <w:p w14:paraId="00000095" w14:textId="77777777" w:rsidR="004F5D47" w:rsidRDefault="004F5D47">
      <w:pPr>
        <w:widowControl w:val="0"/>
        <w:pBdr>
          <w:top w:val="nil"/>
          <w:left w:val="nil"/>
          <w:bottom w:val="nil"/>
          <w:right w:val="nil"/>
          <w:between w:val="nil"/>
        </w:pBdr>
        <w:tabs>
          <w:tab w:val="left" w:pos="426"/>
          <w:tab w:val="left" w:pos="2062"/>
        </w:tabs>
        <w:spacing w:after="0" w:line="240" w:lineRule="auto"/>
        <w:ind w:right="937"/>
        <w:jc w:val="center"/>
        <w:rPr>
          <w:rFonts w:ascii="Arial" w:eastAsia="Arial" w:hAnsi="Arial" w:cs="Arial"/>
        </w:rPr>
      </w:pPr>
    </w:p>
    <w:p w14:paraId="00000096" w14:textId="77777777" w:rsidR="004F5D47" w:rsidRDefault="00000000">
      <w:pPr>
        <w:pStyle w:val="Ttulo1"/>
        <w:jc w:val="both"/>
      </w:pPr>
      <w:bookmarkStart w:id="5" w:name="_heading=h.4d34og8" w:colFirst="0" w:colLast="0"/>
      <w:bookmarkEnd w:id="5"/>
      <w:r>
        <w:t xml:space="preserve">3. Metodología para la evaluación y ajuste periódico del índice Bogotano de Calidad del Aire y Riesgo en Salud (IBOCA) </w:t>
      </w:r>
    </w:p>
    <w:p w14:paraId="00000097" w14:textId="77777777" w:rsidR="004F5D47" w:rsidRDefault="00000000">
      <w:pPr>
        <w:widowControl w:val="0"/>
        <w:shd w:val="clear" w:color="auto" w:fill="FFFFFF"/>
        <w:tabs>
          <w:tab w:val="left" w:pos="426"/>
          <w:tab w:val="left" w:pos="2062"/>
        </w:tabs>
        <w:spacing w:before="240" w:after="240" w:line="240" w:lineRule="auto"/>
        <w:jc w:val="both"/>
        <w:rPr>
          <w:rFonts w:ascii="Arial" w:eastAsia="Arial" w:hAnsi="Arial" w:cs="Arial"/>
        </w:rPr>
      </w:pPr>
      <w:r>
        <w:rPr>
          <w:rFonts w:ascii="Arial" w:eastAsia="Arial" w:hAnsi="Arial" w:cs="Arial"/>
        </w:rPr>
        <w:t xml:space="preserve">Los avances desarrollados hasta diciembre de 2025 se enmarcan en la </w:t>
      </w:r>
      <w:r>
        <w:rPr>
          <w:rFonts w:ascii="Arial" w:eastAsia="Arial" w:hAnsi="Arial" w:cs="Arial"/>
          <w:b/>
          <w:bCs/>
        </w:rPr>
        <w:t>Metodología para la evaluación y ajuste periódico del Índice Bogotano de Calidad del Aire y Riesgo en Salud (IBOCA)</w:t>
      </w:r>
      <w:r>
        <w:rPr>
          <w:rFonts w:ascii="Arial" w:eastAsia="Arial" w:hAnsi="Arial" w:cs="Arial"/>
        </w:rPr>
        <w:t xml:space="preserve"> definida por los equipos de la Secretaría Distrital de Ambiente y la Secretaría Distrital de Salud </w:t>
      </w:r>
      <w:r>
        <w:rPr>
          <w:rFonts w:ascii="Arial" w:eastAsia="Arial" w:hAnsi="Arial" w:cs="Arial"/>
          <w:highlight w:val="white"/>
        </w:rPr>
        <w:t>de Bogotá se presentan a continuación.</w:t>
      </w:r>
      <w:r>
        <w:rPr>
          <w:rFonts w:ascii="Arial" w:eastAsia="Arial" w:hAnsi="Arial" w:cs="Arial"/>
        </w:rPr>
        <w:t xml:space="preserve">  </w:t>
      </w:r>
    </w:p>
    <w:p w14:paraId="00000098" w14:textId="77777777" w:rsidR="004F5D47" w:rsidRDefault="00000000">
      <w:pPr>
        <w:pStyle w:val="Ttulo2"/>
        <w:jc w:val="both"/>
      </w:pPr>
      <w:bookmarkStart w:id="6" w:name="_heading=h.2s8eyo1" w:colFirst="0" w:colLast="0"/>
      <w:bookmarkEnd w:id="6"/>
      <w:r>
        <w:t>3.1 Actualización del Índice Bogotano de Calidad del Aire y Riesgo en Salud – Resolución Conjunta 2840 de 2023.</w:t>
      </w:r>
    </w:p>
    <w:p w14:paraId="00000099" w14:textId="77777777" w:rsidR="004F5D47" w:rsidRDefault="00000000">
      <w:pPr>
        <w:jc w:val="both"/>
        <w:rPr>
          <w:rFonts w:ascii="Arial" w:eastAsia="Arial" w:hAnsi="Arial" w:cs="Arial"/>
        </w:rPr>
      </w:pPr>
      <w:r>
        <w:rPr>
          <w:rFonts w:ascii="Arial" w:eastAsia="Arial" w:hAnsi="Arial" w:cs="Arial"/>
        </w:rPr>
        <w:t xml:space="preserve">Posterior a la resolución conjunta 2840 de 2023, se dio inició a la fase 2 de la “Metodología para la evaluación y ajuste periodico del IBOCA”, de acuerdo con la cuál se debe realizar la evaluación de los aspectos técnicos indicados tabla 2, siempre y cuando se considere técnicamente pertinentes. </w:t>
      </w:r>
    </w:p>
    <w:p w14:paraId="0000009A" w14:textId="77777777" w:rsidR="004F5D47" w:rsidRDefault="00000000">
      <w:pPr>
        <w:spacing w:before="240" w:after="200" w:line="276" w:lineRule="auto"/>
        <w:jc w:val="center"/>
        <w:rPr>
          <w:rFonts w:ascii="Arial" w:eastAsia="Arial" w:hAnsi="Arial" w:cs="Arial"/>
        </w:rPr>
      </w:pPr>
      <w:r>
        <w:rPr>
          <w:rFonts w:ascii="Arial" w:eastAsia="Arial" w:hAnsi="Arial" w:cs="Arial"/>
          <w:b/>
          <w:bCs/>
        </w:rPr>
        <w:t>Tabla 2.</w:t>
      </w:r>
      <w:r>
        <w:rPr>
          <w:rFonts w:ascii="Arial" w:eastAsia="Arial" w:hAnsi="Arial" w:cs="Arial"/>
        </w:rPr>
        <w:t xml:space="preserve"> Aspectos metodológicos y complementarios para la actualización periódica del IBOCA</w:t>
      </w:r>
    </w:p>
    <w:p w14:paraId="0000009B" w14:textId="77777777" w:rsidR="004F5D47" w:rsidRDefault="00000000">
      <w:pPr>
        <w:spacing w:before="240" w:after="200" w:line="276" w:lineRule="auto"/>
        <w:jc w:val="center"/>
        <w:rPr>
          <w:rFonts w:ascii="Arial" w:eastAsia="Arial" w:hAnsi="Arial" w:cs="Arial"/>
        </w:rPr>
      </w:pPr>
      <w:r>
        <w:rPr>
          <w:rFonts w:ascii="Arial" w:eastAsia="Arial" w:hAnsi="Arial" w:cs="Arial"/>
          <w:noProof/>
        </w:rPr>
        <w:drawing>
          <wp:inline distT="114300" distB="114300" distL="114300" distR="114300" wp14:anchorId="6E434E26" wp14:editId="2719E7A4">
            <wp:extent cx="5610225" cy="4046443"/>
            <wp:effectExtent l="0" t="0" r="0" b="0"/>
            <wp:docPr id="87546117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5610225" cy="4046443"/>
                    </a:xfrm>
                    <a:prstGeom prst="rect">
                      <a:avLst/>
                    </a:prstGeom>
                    <a:ln/>
                  </pic:spPr>
                </pic:pic>
              </a:graphicData>
            </a:graphic>
          </wp:inline>
        </w:drawing>
      </w:r>
    </w:p>
    <w:p w14:paraId="0000009C" w14:textId="77777777" w:rsidR="004F5D47" w:rsidRDefault="004F5D47">
      <w:pPr>
        <w:spacing w:before="240" w:after="200" w:line="276" w:lineRule="auto"/>
        <w:jc w:val="center"/>
        <w:rPr>
          <w:rFonts w:ascii="Arial" w:eastAsia="Arial" w:hAnsi="Arial" w:cs="Arial"/>
        </w:rPr>
      </w:pPr>
    </w:p>
    <w:p w14:paraId="0000009D" w14:textId="77777777" w:rsidR="004F5D47" w:rsidRDefault="00000000">
      <w:pPr>
        <w:spacing w:before="240" w:after="200" w:line="276" w:lineRule="auto"/>
        <w:jc w:val="both"/>
        <w:rPr>
          <w:rFonts w:ascii="Arial" w:eastAsia="Arial" w:hAnsi="Arial" w:cs="Arial"/>
        </w:rPr>
      </w:pPr>
      <w:r>
        <w:rPr>
          <w:rFonts w:ascii="Arial" w:eastAsia="Arial" w:hAnsi="Arial" w:cs="Arial"/>
        </w:rPr>
        <w:t xml:space="preserve">Sin embargo, a partir del año 2026, se propone la mejora metodológica plasmada en el numeral 3 con el fin de alcanzar el objeto fundamental establecido en el Artículo 1 del acuerdo 802 de 2021 del Concejo de Bogotá . </w:t>
      </w:r>
    </w:p>
    <w:p w14:paraId="0000009E" w14:textId="77777777" w:rsidR="004F5D47" w:rsidRDefault="00000000">
      <w:pPr>
        <w:rPr>
          <w:rFonts w:ascii="Arial" w:eastAsia="Arial" w:hAnsi="Arial" w:cs="Arial"/>
          <w:i/>
          <w:iCs/>
        </w:rPr>
      </w:pPr>
      <w:r>
        <w:rPr>
          <w:rFonts w:ascii="Arial" w:eastAsia="Arial" w:hAnsi="Arial" w:cs="Arial"/>
          <w:b/>
          <w:bCs/>
        </w:rPr>
        <w:t>3.1.2 Estudio de salud y ambiente</w:t>
      </w:r>
    </w:p>
    <w:p w14:paraId="0000009F" w14:textId="77777777" w:rsidR="004F5D47" w:rsidRDefault="00000000">
      <w:pPr>
        <w:spacing w:before="240" w:after="0"/>
        <w:jc w:val="both"/>
        <w:rPr>
          <w:rFonts w:ascii="Arial" w:eastAsia="Arial" w:hAnsi="Arial" w:cs="Arial"/>
          <w:highlight w:val="white"/>
        </w:rPr>
      </w:pPr>
      <w:r>
        <w:rPr>
          <w:rFonts w:ascii="Arial" w:eastAsia="Arial" w:hAnsi="Arial" w:cs="Arial"/>
          <w:highlight w:val="white"/>
        </w:rPr>
        <w:t xml:space="preserve">Para la actualización del IBOCA 3, uno de los ajustes fue el uso de las curvas de concentración – respuestas usadas por la OMS en las GCA  2021 para integrar la dimensión de riesgo en salud. </w:t>
      </w:r>
    </w:p>
    <w:p w14:paraId="000000A0"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 xml:space="preserve">Se realizó un estudio ecológico de series de tiempo para estimar el riesgo de mortalidad por exposición a corto plazo a los contaminantes atmosféricos en el periodo 2015 al 2019 de Bogotá. </w:t>
      </w:r>
    </w:p>
    <w:p w14:paraId="000000A1"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Los datos de mortalidad diaria de Bogotá fueron obtenidos de la base de datos validada del área de estadísticas vitales de la SDS. Se analizaron las muertes por causas naturales (CIE-10: A00–R99), cardiovasculares (CIE-10: I00–I99), respiratorias (CIE-10: J00–J99) y cardiorrespiratorias, de acuerdo con la Clasificación Internacional de Enfermedades, décima revisión (CIE‑10).</w:t>
      </w:r>
    </w:p>
    <w:p w14:paraId="000000A2"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 xml:space="preserve"> La información de los contaminantes atmosféricos y variables meteorológicas provino de la Red de Monitoreo de Calidad de Aire de Bogotá (RMCAB), la cual es operada por la Secretaría Distrital de Ambiente (SDA). El cálculo del promedio simple ciudad de 24 horas para PM</w:t>
      </w:r>
      <w:r>
        <w:rPr>
          <w:rFonts w:ascii="Arial" w:eastAsia="Arial" w:hAnsi="Arial" w:cs="Arial"/>
          <w:highlight w:val="white"/>
          <w:vertAlign w:val="subscript"/>
        </w:rPr>
        <w:t>10</w:t>
      </w:r>
      <w:r>
        <w:rPr>
          <w:rFonts w:ascii="Arial" w:eastAsia="Arial" w:hAnsi="Arial" w:cs="Arial"/>
          <w:highlight w:val="white"/>
        </w:rPr>
        <w:t>, PM</w:t>
      </w:r>
      <w:r>
        <w:rPr>
          <w:rFonts w:ascii="Arial" w:eastAsia="Arial" w:hAnsi="Arial" w:cs="Arial"/>
          <w:highlight w:val="white"/>
          <w:vertAlign w:val="subscript"/>
        </w:rPr>
        <w:t>2.5</w:t>
      </w:r>
      <w:r>
        <w:rPr>
          <w:rFonts w:ascii="Arial" w:eastAsia="Arial" w:hAnsi="Arial" w:cs="Arial"/>
          <w:highlight w:val="white"/>
        </w:rPr>
        <w:t>, NO</w:t>
      </w:r>
      <w:r>
        <w:rPr>
          <w:rFonts w:ascii="Arial" w:eastAsia="Arial" w:hAnsi="Arial" w:cs="Arial"/>
          <w:highlight w:val="white"/>
          <w:vertAlign w:val="subscript"/>
        </w:rPr>
        <w:t>2</w:t>
      </w:r>
      <w:r>
        <w:rPr>
          <w:rFonts w:ascii="Arial" w:eastAsia="Arial" w:hAnsi="Arial" w:cs="Arial"/>
          <w:highlight w:val="white"/>
        </w:rPr>
        <w:t>, SO</w:t>
      </w:r>
      <w:r>
        <w:rPr>
          <w:rFonts w:ascii="Arial" w:eastAsia="Arial" w:hAnsi="Arial" w:cs="Arial"/>
          <w:highlight w:val="white"/>
          <w:vertAlign w:val="subscript"/>
        </w:rPr>
        <w:t>2</w:t>
      </w:r>
      <w:r>
        <w:rPr>
          <w:rFonts w:ascii="Arial" w:eastAsia="Arial" w:hAnsi="Arial" w:cs="Arial"/>
          <w:highlight w:val="white"/>
        </w:rPr>
        <w:t>, temperatura y humedad relativa y el de ocho horas para O</w:t>
      </w:r>
      <w:r>
        <w:rPr>
          <w:rFonts w:ascii="Arial" w:eastAsia="Arial" w:hAnsi="Arial" w:cs="Arial"/>
          <w:highlight w:val="white"/>
          <w:vertAlign w:val="subscript"/>
        </w:rPr>
        <w:t>3</w:t>
      </w:r>
      <w:r>
        <w:rPr>
          <w:rFonts w:ascii="Arial" w:eastAsia="Arial" w:hAnsi="Arial" w:cs="Arial"/>
          <w:highlight w:val="white"/>
        </w:rPr>
        <w:t xml:space="preserve"> fue realizado por la SDA con los datos de la RMCAB, considerando que tuvieran al menos el 75 % de representatividad en el registro de la información.</w:t>
      </w:r>
    </w:p>
    <w:p w14:paraId="000000A3" w14:textId="77777777" w:rsidR="004F5D47" w:rsidRDefault="00000000">
      <w:pPr>
        <w:spacing w:before="240" w:after="0" w:line="276" w:lineRule="auto"/>
        <w:jc w:val="both"/>
        <w:rPr>
          <w:rFonts w:ascii="Arial" w:eastAsia="Arial" w:hAnsi="Arial" w:cs="Arial"/>
          <w:i/>
          <w:iCs/>
          <w:highlight w:val="white"/>
        </w:rPr>
      </w:pPr>
      <w:r>
        <w:rPr>
          <w:rFonts w:ascii="Arial" w:eastAsia="Arial" w:hAnsi="Arial" w:cs="Arial"/>
          <w:highlight w:val="white"/>
        </w:rPr>
        <w:t xml:space="preserve">Se construyeron series temporales diarias para cada mortalidad, contaminante atmosférico y condición meteorológica. El análisis exploratorio incluyó la inspección gráfica de las series temporales, así como las funciones de autocorrelación (ACF) y autocorrelación parcial (PACF). La estacionariedad se evaluó mediante las pruebas de </w:t>
      </w:r>
      <w:r>
        <w:rPr>
          <w:rFonts w:ascii="Arial" w:eastAsia="Arial" w:hAnsi="Arial" w:cs="Arial"/>
          <w:i/>
          <w:iCs/>
          <w:highlight w:val="white"/>
        </w:rPr>
        <w:t>Dickey-Fuller y Phillips Perron</w:t>
      </w:r>
      <w:r>
        <w:rPr>
          <w:rFonts w:ascii="Arial" w:eastAsia="Arial" w:hAnsi="Arial" w:cs="Arial"/>
          <w:highlight w:val="white"/>
        </w:rPr>
        <w:t xml:space="preserve">. La colinealidad entre los contaminantes atmosféricos y las condiciones meteorológicas mediante coeficientes de correlación </w:t>
      </w:r>
      <w:r>
        <w:rPr>
          <w:rFonts w:ascii="Arial" w:eastAsia="Arial" w:hAnsi="Arial" w:cs="Arial"/>
          <w:i/>
          <w:iCs/>
          <w:highlight w:val="white"/>
        </w:rPr>
        <w:t>spearman.</w:t>
      </w:r>
    </w:p>
    <w:p w14:paraId="000000A4" w14:textId="77777777" w:rsidR="004F5D47" w:rsidRDefault="00000000">
      <w:pPr>
        <w:spacing w:before="240" w:after="0"/>
        <w:jc w:val="both"/>
        <w:rPr>
          <w:rFonts w:ascii="Arial" w:eastAsia="Arial" w:hAnsi="Arial" w:cs="Arial"/>
          <w:highlight w:val="white"/>
        </w:rPr>
      </w:pPr>
      <w:r>
        <w:rPr>
          <w:rFonts w:ascii="Arial" w:eastAsia="Arial" w:hAnsi="Arial" w:cs="Arial"/>
          <w:highlight w:val="white"/>
        </w:rPr>
        <w:t>La asociación entre la mortalidad diaria y las concentraciones de contaminantes atmosféricos PM</w:t>
      </w:r>
      <w:r>
        <w:rPr>
          <w:rFonts w:ascii="Arial" w:eastAsia="Arial" w:hAnsi="Arial" w:cs="Arial"/>
          <w:highlight w:val="white"/>
          <w:vertAlign w:val="subscript"/>
        </w:rPr>
        <w:t>10</w:t>
      </w:r>
      <w:r>
        <w:rPr>
          <w:rFonts w:ascii="Arial" w:eastAsia="Arial" w:hAnsi="Arial" w:cs="Arial"/>
          <w:highlight w:val="white"/>
        </w:rPr>
        <w:t>, PM</w:t>
      </w:r>
      <w:r>
        <w:rPr>
          <w:rFonts w:ascii="Arial" w:eastAsia="Arial" w:hAnsi="Arial" w:cs="Arial"/>
          <w:highlight w:val="white"/>
          <w:vertAlign w:val="subscript"/>
        </w:rPr>
        <w:t>2.5</w:t>
      </w:r>
      <w:r>
        <w:rPr>
          <w:rFonts w:ascii="Arial" w:eastAsia="Arial" w:hAnsi="Arial" w:cs="Arial"/>
          <w:highlight w:val="white"/>
        </w:rPr>
        <w:t>, O</w:t>
      </w:r>
      <w:r>
        <w:rPr>
          <w:rFonts w:ascii="Arial" w:eastAsia="Arial" w:hAnsi="Arial" w:cs="Arial"/>
          <w:highlight w:val="white"/>
          <w:vertAlign w:val="subscript"/>
        </w:rPr>
        <w:t>3</w:t>
      </w:r>
      <w:r>
        <w:rPr>
          <w:rFonts w:ascii="Arial" w:eastAsia="Arial" w:hAnsi="Arial" w:cs="Arial"/>
          <w:highlight w:val="white"/>
        </w:rPr>
        <w:t>, SO</w:t>
      </w:r>
      <w:r>
        <w:rPr>
          <w:rFonts w:ascii="Arial" w:eastAsia="Arial" w:hAnsi="Arial" w:cs="Arial"/>
          <w:highlight w:val="white"/>
          <w:vertAlign w:val="subscript"/>
        </w:rPr>
        <w:t>2</w:t>
      </w:r>
      <w:r>
        <w:rPr>
          <w:rFonts w:ascii="Arial" w:eastAsia="Arial" w:hAnsi="Arial" w:cs="Arial"/>
          <w:highlight w:val="white"/>
        </w:rPr>
        <w:t xml:space="preserve"> y NO</w:t>
      </w:r>
      <w:r>
        <w:rPr>
          <w:rFonts w:ascii="Arial" w:eastAsia="Arial" w:hAnsi="Arial" w:cs="Arial"/>
          <w:highlight w:val="white"/>
          <w:vertAlign w:val="subscript"/>
        </w:rPr>
        <w:t xml:space="preserve">2,  </w:t>
      </w:r>
      <w:r>
        <w:rPr>
          <w:rFonts w:ascii="Arial" w:eastAsia="Arial" w:hAnsi="Arial" w:cs="Arial"/>
          <w:highlight w:val="white"/>
        </w:rPr>
        <w:t xml:space="preserve">se estimó mediante modelos aditivos generalizados (GAM) con distribución </w:t>
      </w:r>
      <w:r>
        <w:rPr>
          <w:rFonts w:ascii="Arial" w:eastAsia="Arial" w:hAnsi="Arial" w:cs="Arial"/>
          <w:i/>
          <w:iCs/>
          <w:highlight w:val="white"/>
        </w:rPr>
        <w:t>cuasi-Poisson</w:t>
      </w:r>
      <w:r>
        <w:rPr>
          <w:rFonts w:ascii="Arial" w:eastAsia="Arial" w:hAnsi="Arial" w:cs="Arial"/>
          <w:highlight w:val="white"/>
        </w:rPr>
        <w:t>, considerando la sobredispersión (p &lt; 0,05). La especificación general del modelo fue:</w:t>
      </w:r>
    </w:p>
    <w:p w14:paraId="000000A5" w14:textId="77777777" w:rsidR="004F5D47" w:rsidRDefault="004F5D47">
      <w:pPr>
        <w:spacing w:before="240" w:after="0"/>
        <w:jc w:val="both"/>
        <w:rPr>
          <w:rFonts w:ascii="Arial" w:eastAsia="Arial" w:hAnsi="Arial" w:cs="Arial"/>
          <w:highlight w:val="white"/>
        </w:rPr>
      </w:pPr>
    </w:p>
    <w:p w14:paraId="000000A6" w14:textId="77777777" w:rsidR="004F5D47" w:rsidRDefault="00000000">
      <w:pPr>
        <w:spacing w:after="0"/>
        <w:ind w:left="360"/>
        <w:jc w:val="both"/>
        <w:rPr>
          <w:rFonts w:ascii="Arial" w:eastAsia="Arial" w:hAnsi="Arial" w:cs="Arial"/>
          <w:highlight w:val="white"/>
        </w:rPr>
      </w:pPr>
      <w:r>
        <w:rPr>
          <w:rFonts w:ascii="Arial" w:eastAsia="Arial" w:hAnsi="Arial" w:cs="Arial"/>
          <w:noProof/>
          <w:highlight w:val="white"/>
        </w:rPr>
        <w:drawing>
          <wp:inline distT="114300" distB="114300" distL="114300" distR="114300" wp14:anchorId="27D83E58" wp14:editId="2DDC7F8D">
            <wp:extent cx="5612130" cy="685800"/>
            <wp:effectExtent l="0" t="0" r="0" b="0"/>
            <wp:docPr id="87546117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5612130" cy="685800"/>
                    </a:xfrm>
                    <a:prstGeom prst="rect">
                      <a:avLst/>
                    </a:prstGeom>
                    <a:ln/>
                  </pic:spPr>
                </pic:pic>
              </a:graphicData>
            </a:graphic>
          </wp:inline>
        </w:drawing>
      </w:r>
    </w:p>
    <w:p w14:paraId="000000A7"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 xml:space="preserve">Donde </w:t>
      </w:r>
      <w:r>
        <w:rPr>
          <w:rFonts w:ascii="Arial" w:eastAsia="Arial" w:hAnsi="Arial" w:cs="Arial"/>
          <w:noProof/>
          <w:highlight w:val="white"/>
        </w:rPr>
        <w:drawing>
          <wp:inline distT="114300" distB="114300" distL="114300" distR="114300" wp14:anchorId="7F1605EE" wp14:editId="0AEE8721">
            <wp:extent cx="355600" cy="177800"/>
            <wp:effectExtent l="0" t="0" r="0" b="0"/>
            <wp:docPr id="87546117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355600" cy="177800"/>
                    </a:xfrm>
                    <a:prstGeom prst="rect">
                      <a:avLst/>
                    </a:prstGeom>
                    <a:ln/>
                  </pic:spPr>
                </pic:pic>
              </a:graphicData>
            </a:graphic>
          </wp:inline>
        </w:drawing>
      </w:r>
      <w:r>
        <w:rPr>
          <w:rFonts w:ascii="Arial" w:eastAsia="Arial" w:hAnsi="Arial" w:cs="Arial"/>
          <w:highlight w:val="white"/>
        </w:rPr>
        <w:t xml:space="preserve">  representa el número esperado de muertes en el día t, </w:t>
      </w:r>
      <w:r>
        <w:rPr>
          <w:rFonts w:ascii="Arial" w:eastAsia="Arial" w:hAnsi="Arial" w:cs="Arial"/>
          <w:noProof/>
          <w:highlight w:val="white"/>
        </w:rPr>
        <w:drawing>
          <wp:inline distT="114300" distB="114300" distL="114300" distR="114300" wp14:anchorId="7BC2C6A4" wp14:editId="7A4B709E">
            <wp:extent cx="101600" cy="177800"/>
            <wp:effectExtent l="0" t="0" r="0" b="0"/>
            <wp:docPr id="87546117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101600" cy="177800"/>
                    </a:xfrm>
                    <a:prstGeom prst="rect">
                      <a:avLst/>
                    </a:prstGeom>
                    <a:ln/>
                  </pic:spPr>
                </pic:pic>
              </a:graphicData>
            </a:graphic>
          </wp:inline>
        </w:drawing>
      </w:r>
      <w:r>
        <w:rPr>
          <w:rFonts w:ascii="Arial" w:eastAsia="Arial" w:hAnsi="Arial" w:cs="Arial"/>
          <w:highlight w:val="white"/>
        </w:rPr>
        <w:t xml:space="preserve"> representa la intersección del modelo, </w:t>
      </w:r>
      <w:r>
        <w:rPr>
          <w:rFonts w:ascii="Arial" w:eastAsia="Arial" w:hAnsi="Arial" w:cs="Arial"/>
          <w:noProof/>
          <w:highlight w:val="white"/>
        </w:rPr>
        <w:drawing>
          <wp:inline distT="114300" distB="114300" distL="114300" distR="114300" wp14:anchorId="3B2C6518" wp14:editId="312F21C3">
            <wp:extent cx="101600" cy="177800"/>
            <wp:effectExtent l="0" t="0" r="0" b="0"/>
            <wp:docPr id="87546117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101600" cy="177800"/>
                    </a:xfrm>
                    <a:prstGeom prst="rect">
                      <a:avLst/>
                    </a:prstGeom>
                    <a:ln/>
                  </pic:spPr>
                </pic:pic>
              </a:graphicData>
            </a:graphic>
          </wp:inline>
        </w:drawing>
      </w:r>
      <w:r>
        <w:rPr>
          <w:rFonts w:ascii="Arial" w:eastAsia="Arial" w:hAnsi="Arial" w:cs="Arial"/>
          <w:highlight w:val="white"/>
        </w:rPr>
        <w:t xml:space="preserve"> indica el riesgo log-relativo (RR) de la mortalidad asociada con un aumento de 10µg/m</w:t>
      </w:r>
      <w:r>
        <w:rPr>
          <w:rFonts w:ascii="Arial" w:eastAsia="Arial" w:hAnsi="Arial" w:cs="Arial"/>
          <w:highlight w:val="white"/>
          <w:vertAlign w:val="superscript"/>
        </w:rPr>
        <w:t>3</w:t>
      </w:r>
      <w:r>
        <w:rPr>
          <w:rFonts w:ascii="Arial" w:eastAsia="Arial" w:hAnsi="Arial" w:cs="Arial"/>
          <w:highlight w:val="white"/>
        </w:rPr>
        <w:t xml:space="preserve"> de las concentraciones de los contaminantes atmosféricos. Las funciones suaves se modelaron mediante </w:t>
      </w:r>
      <w:r>
        <w:rPr>
          <w:rFonts w:ascii="Arial" w:eastAsia="Arial" w:hAnsi="Arial" w:cs="Arial"/>
          <w:i/>
          <w:iCs/>
          <w:highlight w:val="white"/>
        </w:rPr>
        <w:t>splines</w:t>
      </w:r>
      <w:r>
        <w:rPr>
          <w:rFonts w:ascii="Arial" w:eastAsia="Arial" w:hAnsi="Arial" w:cs="Arial"/>
          <w:highlight w:val="white"/>
        </w:rPr>
        <w:t xml:space="preserve"> cúbicos naturales. La tendencia de largo plazo y la estacionalidad se controlaron mediante una función </w:t>
      </w:r>
      <w:r>
        <w:rPr>
          <w:rFonts w:ascii="Arial" w:eastAsia="Arial" w:hAnsi="Arial" w:cs="Arial"/>
          <w:i/>
          <w:iCs/>
          <w:highlight w:val="white"/>
        </w:rPr>
        <w:t>spline</w:t>
      </w:r>
      <w:r>
        <w:rPr>
          <w:rFonts w:ascii="Arial" w:eastAsia="Arial" w:hAnsi="Arial" w:cs="Arial"/>
          <w:highlight w:val="white"/>
        </w:rPr>
        <w:t xml:space="preserve"> para el tiempo con 6 grados de libertad (gl), seleccionados con base en la minimización del criterio de información </w:t>
      </w:r>
      <w:r>
        <w:rPr>
          <w:rFonts w:ascii="Arial" w:eastAsia="Arial" w:hAnsi="Arial" w:cs="Arial"/>
          <w:i/>
          <w:iCs/>
          <w:highlight w:val="white"/>
        </w:rPr>
        <w:t>quasi-Akaike</w:t>
      </w:r>
      <w:r>
        <w:rPr>
          <w:rFonts w:ascii="Arial" w:eastAsia="Arial" w:hAnsi="Arial" w:cs="Arial"/>
          <w:highlight w:val="white"/>
        </w:rPr>
        <w:t xml:space="preserve"> (Q-AIC). La temperatura y la humedad relativa se modelaron mediante </w:t>
      </w:r>
      <w:r>
        <w:rPr>
          <w:rFonts w:ascii="Arial" w:eastAsia="Arial" w:hAnsi="Arial" w:cs="Arial"/>
          <w:i/>
          <w:iCs/>
          <w:highlight w:val="white"/>
        </w:rPr>
        <w:t>splines</w:t>
      </w:r>
      <w:r>
        <w:rPr>
          <w:rFonts w:ascii="Arial" w:eastAsia="Arial" w:hAnsi="Arial" w:cs="Arial"/>
          <w:highlight w:val="white"/>
        </w:rPr>
        <w:t xml:space="preserve"> con 4 y 2 grados de libertad, respectivamente. Se incluyeron variables indicadoras para el día de la semana y los días festivos para controlar la variabilidad temporal de corto plazo.</w:t>
      </w:r>
    </w:p>
    <w:p w14:paraId="000000A8"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 xml:space="preserve">Se asumió una relación lineal exposición-respuesta y se ajustaron modelos de un solo contaminante por causa de mortalidad.  Para evaluar los efectos rezagados, se emplearon modelos de rezago único (lag 0–5) y modelos no lineales de rezagos distribuidos (DLNM) utilizando funciones </w:t>
      </w:r>
      <w:r>
        <w:rPr>
          <w:rFonts w:ascii="Arial" w:eastAsia="Arial" w:hAnsi="Arial" w:cs="Arial"/>
          <w:i/>
          <w:iCs/>
          <w:highlight w:val="white"/>
        </w:rPr>
        <w:t>cross-basis</w:t>
      </w:r>
      <w:r>
        <w:rPr>
          <w:rFonts w:ascii="Arial" w:eastAsia="Arial" w:hAnsi="Arial" w:cs="Arial"/>
          <w:highlight w:val="white"/>
        </w:rPr>
        <w:t xml:space="preserve"> y una estructura polinómica para los DLNM.</w:t>
      </w:r>
    </w:p>
    <w:p w14:paraId="000000A9"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Se realizaron análisis de sensibilidad variando los grados de libertad para el tiempo (6–8 gl), la temperatura (2–4 gl) y la humedad relativa (2–3 gl), así como mediante modelos con y sin ajuste por humedad relativa. Adicionalmente, se estimaron modelos multicontaminante (dos y tres contaminantes), restringidos a variables con correlaciones de Spearman &lt; 0,60 para reducir la multicolinealidad.</w:t>
      </w:r>
    </w:p>
    <w:p w14:paraId="000000AA" w14:textId="77777777" w:rsidR="004F5D47" w:rsidRDefault="00000000">
      <w:pPr>
        <w:spacing w:before="240" w:after="0" w:line="276" w:lineRule="auto"/>
        <w:jc w:val="both"/>
        <w:rPr>
          <w:rFonts w:ascii="Arial" w:eastAsia="Arial" w:hAnsi="Arial" w:cs="Arial"/>
          <w:highlight w:val="white"/>
        </w:rPr>
      </w:pPr>
      <w:sdt>
        <w:sdtPr>
          <w:tag w:val="goog_rdk_3"/>
          <w:id w:val="450252146"/>
        </w:sdtPr>
        <w:sdtContent>
          <w:r>
            <w:rPr>
              <w:rFonts w:ascii="Arial Unicode MS" w:eastAsia="Arial Unicode MS" w:hAnsi="Arial Unicode MS" w:cs="Arial Unicode MS"/>
              <w:highlight w:val="white"/>
            </w:rPr>
            <w:t>Los resultados se expresaron como exceso de riesgo (ER = [RR − 1] × 100%) con intervalos de confianza (IC) del 95% por incrementos de 10 µg/</w:t>
          </w:r>
        </w:sdtContent>
      </w:sdt>
      <w:r>
        <w:rPr>
          <w:rFonts w:ascii="Arial" w:eastAsia="Arial" w:hAnsi="Arial" w:cs="Arial"/>
          <w:highlight w:val="white"/>
        </w:rPr>
        <w:t xml:space="preserve">m³ en las concentraciones de contaminantes. Todos los análisis se realizaron en R (versión 4.1.3), utilizando los paquetes </w:t>
      </w:r>
      <w:r>
        <w:rPr>
          <w:rFonts w:ascii="Arial" w:eastAsia="Arial" w:hAnsi="Arial" w:cs="Arial"/>
          <w:i/>
          <w:iCs/>
          <w:highlight w:val="white"/>
        </w:rPr>
        <w:t>mgcv</w:t>
      </w:r>
      <w:r>
        <w:rPr>
          <w:rFonts w:ascii="Arial" w:eastAsia="Arial" w:hAnsi="Arial" w:cs="Arial"/>
          <w:highlight w:val="white"/>
        </w:rPr>
        <w:t xml:space="preserve"> y </w:t>
      </w:r>
      <w:r>
        <w:rPr>
          <w:rFonts w:ascii="Arial" w:eastAsia="Arial" w:hAnsi="Arial" w:cs="Arial"/>
          <w:i/>
          <w:iCs/>
          <w:highlight w:val="white"/>
        </w:rPr>
        <w:t>dlnm</w:t>
      </w:r>
      <w:r>
        <w:rPr>
          <w:rFonts w:ascii="Arial" w:eastAsia="Arial" w:hAnsi="Arial" w:cs="Arial"/>
          <w:highlight w:val="white"/>
        </w:rPr>
        <w:t>.</w:t>
      </w:r>
    </w:p>
    <w:p w14:paraId="000000AB" w14:textId="77777777" w:rsidR="004F5D47" w:rsidRDefault="00000000">
      <w:pPr>
        <w:spacing w:before="240" w:after="0"/>
        <w:jc w:val="both"/>
        <w:rPr>
          <w:rFonts w:ascii="Arial" w:eastAsia="Arial" w:hAnsi="Arial" w:cs="Arial"/>
          <w:b/>
          <w:bCs/>
        </w:rPr>
      </w:pPr>
      <w:r>
        <w:rPr>
          <w:rFonts w:ascii="Arial" w:eastAsia="Arial" w:hAnsi="Arial" w:cs="Arial"/>
          <w:b/>
          <w:bCs/>
        </w:rPr>
        <w:t xml:space="preserve"> Resultados</w:t>
      </w:r>
    </w:p>
    <w:p w14:paraId="000000AC"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En general, los efectos estadísticamente significativos se concentraron en los rezagos cortos (simples lag0–lag2 y distribuidos lag01–lag02), con una disminución progresiva de la magnitud del efecto a mayores rezagos.</w:t>
      </w:r>
    </w:p>
    <w:p w14:paraId="000000AD"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La mortalidad por causas naturales presentó asociaciones significativas con PM₁₀, PM₂,₅, O₃ y NO₂. El PM₁₀ se asoció en lag0 con un incremento del 0,59 % (IC 95 %: 0,06–1,12), mientras que el PM₂,₅ presentó efectos en lag0 y lag01, con mayor magnitud en lag0 con un incremento del 1,10 % (IC 95 %: 0,11–2,10). El O₃ se asoció en lag2 (1,03 %; IC 95 %: 0,02–2,04) y lag02 (0,45 %; IC 95 %: 0,04–0,86), y el NO₂ mostró asociaciones en rezagos cortos y distribuidos, con el mayor efecto en lag0 (1,46 %; IC 95 %: 0,67–2,26).</w:t>
      </w:r>
    </w:p>
    <w:p w14:paraId="000000AE"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Para la mortalidad cardiovascular, se observó asociación con O₃ en lag2 (2,17 %; IC 95 %: 0,46–3,92). La mortalidad respiratoria se asoció con PM₂,₅ en lag03 (0,93 %; IC 95 %: 0,03–1,84) y con NO₂ en lag02 (0,90 %; IC 95 %: 0,04–1,17). En la mortalidad cardiorrespiratoria, el NO₂ mostró asociaciones en lag0–lag1 y rezagos distribuidos (lag01–lag02), con el mayor efecto en lag0 (1,29 %; IC 95 %: 0,14–2,45).</w:t>
      </w:r>
    </w:p>
    <w:p w14:paraId="000000AF" w14:textId="77777777" w:rsidR="004F5D47" w:rsidRDefault="00000000">
      <w:pPr>
        <w:spacing w:before="240" w:after="0" w:line="276" w:lineRule="auto"/>
        <w:jc w:val="both"/>
        <w:rPr>
          <w:rFonts w:ascii="Arial" w:eastAsia="Arial" w:hAnsi="Arial" w:cs="Arial"/>
          <w:highlight w:val="yellow"/>
        </w:rPr>
      </w:pPr>
      <w:r>
        <w:rPr>
          <w:rFonts w:ascii="Arial" w:eastAsia="Arial" w:hAnsi="Arial" w:cs="Arial"/>
          <w:highlight w:val="white"/>
        </w:rPr>
        <w:t xml:space="preserve">En conjunto, la mortalidad por causas naturales presentó asociaciones con la mayoría de los contaminantes, destacándose el NO₂ como el de mayor magnitud de efecto. Asimismo, la asociación más fuerte se observó entre la mortalidad cardiovascular y el O₃ </w:t>
      </w:r>
      <w:r>
        <w:rPr>
          <w:rFonts w:ascii="Arial" w:eastAsia="Arial" w:hAnsi="Arial" w:cs="Arial"/>
          <w:highlight w:val="yellow"/>
        </w:rPr>
        <w:t>(Anexo 1).</w:t>
      </w:r>
    </w:p>
    <w:p w14:paraId="000000B0" w14:textId="77777777" w:rsidR="004F5D47" w:rsidRDefault="00000000">
      <w:pPr>
        <w:shd w:val="clear" w:color="auto" w:fill="FFFFFF"/>
        <w:spacing w:before="240" w:after="240" w:line="276" w:lineRule="auto"/>
        <w:jc w:val="both"/>
        <w:rPr>
          <w:rFonts w:ascii="Arial" w:eastAsia="Arial" w:hAnsi="Arial" w:cs="Arial"/>
          <w:highlight w:val="white"/>
        </w:rPr>
      </w:pPr>
      <w:r>
        <w:rPr>
          <w:rFonts w:ascii="Arial" w:eastAsia="Arial" w:hAnsi="Arial" w:cs="Arial"/>
          <w:highlight w:val="white"/>
        </w:rPr>
        <w:t>En el periodo de este informe se avanzó en los análisis de sensibilidad y la construcción de un artículo del estudio. Es necesario explorar, validar, evaluar y definir la pertinencia de incorporar estos resultados para los umbrales del IBOCA.</w:t>
      </w:r>
    </w:p>
    <w:p w14:paraId="000000B1" w14:textId="77777777" w:rsidR="004F5D47" w:rsidRDefault="004F5D47">
      <w:pPr>
        <w:spacing w:before="240" w:after="240"/>
        <w:jc w:val="both"/>
        <w:rPr>
          <w:rFonts w:ascii="Arial" w:eastAsia="Arial" w:hAnsi="Arial" w:cs="Arial"/>
        </w:rPr>
      </w:pPr>
    </w:p>
    <w:p w14:paraId="000000B2" w14:textId="77777777" w:rsidR="004F5D47" w:rsidRDefault="00000000">
      <w:pPr>
        <w:tabs>
          <w:tab w:val="left" w:pos="541"/>
          <w:tab w:val="left" w:pos="2062"/>
        </w:tabs>
        <w:rPr>
          <w:rFonts w:ascii="Arial" w:eastAsia="Arial" w:hAnsi="Arial" w:cs="Arial"/>
          <w:highlight w:val="yellow"/>
        </w:rPr>
      </w:pPr>
      <w:r>
        <w:rPr>
          <w:rFonts w:ascii="Arial" w:eastAsia="Arial" w:hAnsi="Arial" w:cs="Arial"/>
          <w:b/>
          <w:bCs/>
        </w:rPr>
        <w:t>3.2 Nuevas versiones del IBOCA</w:t>
      </w:r>
    </w:p>
    <w:p w14:paraId="000000B3"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Para la definición de insumos de las versiones 4 y 5 del IBOCA, según se plantean en la “Metodología para la evaluación y ajuste periódico del Índice Bogotano de Calidad del Aire y Riesgo en Salud (IBOCA)” (anexo 1), actualmente se están adelantando los siguientes aspectos:</w:t>
      </w:r>
    </w:p>
    <w:p w14:paraId="000000B4" w14:textId="77777777" w:rsidR="004F5D47" w:rsidRDefault="00000000">
      <w:pPr>
        <w:tabs>
          <w:tab w:val="left" w:pos="541"/>
          <w:tab w:val="left" w:pos="2062"/>
        </w:tabs>
        <w:spacing w:before="240" w:after="240"/>
        <w:jc w:val="both"/>
        <w:rPr>
          <w:rFonts w:ascii="Arial" w:eastAsia="Arial" w:hAnsi="Arial" w:cs="Arial"/>
          <w:i/>
          <w:iCs/>
        </w:rPr>
      </w:pPr>
      <w:r>
        <w:rPr>
          <w:rFonts w:ascii="Arial" w:eastAsia="Arial" w:hAnsi="Arial" w:cs="Arial"/>
          <w:i/>
          <w:iCs/>
        </w:rPr>
        <w:t xml:space="preserve">a) Revisión inicial de documentos técnicos sobre la metodología NowCast para ozono </w:t>
      </w:r>
      <w:r>
        <w:rPr>
          <w:rFonts w:ascii="Arial" w:eastAsia="Arial" w:hAnsi="Arial" w:cs="Arial"/>
          <w:i/>
          <w:iCs/>
          <w:highlight w:val="white"/>
        </w:rPr>
        <w:t>troposférico</w:t>
      </w:r>
      <w:r>
        <w:rPr>
          <w:rFonts w:ascii="Arial" w:eastAsia="Arial" w:hAnsi="Arial" w:cs="Arial"/>
          <w:i/>
          <w:iCs/>
        </w:rPr>
        <w:t xml:space="preserve"> (O</w:t>
      </w:r>
      <w:r>
        <w:rPr>
          <w:rFonts w:ascii="Arial" w:eastAsia="Arial" w:hAnsi="Arial" w:cs="Arial"/>
          <w:i/>
          <w:iCs/>
          <w:sz w:val="16"/>
          <w:szCs w:val="16"/>
        </w:rPr>
        <w:t>3</w:t>
      </w:r>
      <w:r>
        <w:rPr>
          <w:rFonts w:ascii="Arial" w:eastAsia="Arial" w:hAnsi="Arial" w:cs="Arial"/>
          <w:i/>
          <w:iCs/>
        </w:rPr>
        <w:t>)</w:t>
      </w:r>
    </w:p>
    <w:p w14:paraId="000000B5"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El ozono troposférico es uno de los contaminantes de interés para la calidad del aire de la ciudad. Es uno de los contaminantes recomendados para estudiar y analizar por parte de la OMS y de la EPA.</w:t>
      </w:r>
    </w:p>
    <w:p w14:paraId="000000B6"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 xml:space="preserve">Durante el año 2025 se realizó una revisión de diferentes documentos para conocer sobre la aplicabilidad de la metodología </w:t>
      </w:r>
      <w:r>
        <w:rPr>
          <w:rFonts w:ascii="Arial" w:eastAsia="Arial" w:hAnsi="Arial" w:cs="Arial"/>
          <w:i/>
          <w:iCs/>
        </w:rPr>
        <w:t>NowCast</w:t>
      </w:r>
      <w:r>
        <w:rPr>
          <w:rFonts w:ascii="Arial" w:eastAsia="Arial" w:hAnsi="Arial" w:cs="Arial"/>
        </w:rPr>
        <w:t xml:space="preserve"> y su uso con ozono troposférico (O</w:t>
      </w:r>
      <w:r>
        <w:rPr>
          <w:rFonts w:ascii="Arial" w:eastAsia="Arial" w:hAnsi="Arial" w:cs="Arial"/>
          <w:sz w:val="16"/>
          <w:szCs w:val="16"/>
        </w:rPr>
        <w:t>3</w:t>
      </w:r>
      <w:r>
        <w:rPr>
          <w:rFonts w:ascii="Arial" w:eastAsia="Arial" w:hAnsi="Arial" w:cs="Arial"/>
        </w:rPr>
        <w:t>). El propósito fundamental del NowCast es proporcionar una estimación casi en tiempo real del Índice de Calidad del Aire (ICA) para contaminantes cuya valoración requiere promedios extendidos, como el O</w:t>
      </w:r>
      <w:r>
        <w:rPr>
          <w:rFonts w:ascii="Arial" w:eastAsia="Arial" w:hAnsi="Arial" w:cs="Arial"/>
          <w:vertAlign w:val="subscript"/>
        </w:rPr>
        <w:t>3</w:t>
      </w:r>
      <w:r>
        <w:rPr>
          <w:rFonts w:ascii="Arial" w:eastAsia="Arial" w:hAnsi="Arial" w:cs="Arial"/>
        </w:rPr>
        <w:t>. El ICA para O</w:t>
      </w:r>
      <w:r>
        <w:rPr>
          <w:rFonts w:ascii="Arial" w:eastAsia="Arial" w:hAnsi="Arial" w:cs="Arial"/>
          <w:vertAlign w:val="subscript"/>
        </w:rPr>
        <w:t>3</w:t>
      </w:r>
      <w:r>
        <w:rPr>
          <w:rFonts w:ascii="Arial" w:eastAsia="Arial" w:hAnsi="Arial" w:cs="Arial"/>
        </w:rPr>
        <w:t xml:space="preserve"> está basado en un promedio de 8 horas, pero como los datos futuros aún no están disponibles, la Environmental Protection Agency de los Estados Unidos (EPA) utiliza una estimación centrada en el momento presente. Este es precisamente el NowCast: un promedio móvil ponderado que da mayor relevancia a los valores más recientes, especialmente si los niveles de contaminación varían rápidamente (Reff et al., n.d.).  </w:t>
      </w:r>
    </w:p>
    <w:p w14:paraId="000000B7"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El NowCast de ozono se basa en establecer una relación predictiva entre el promedio de 1 h y el promedio de 8 h centrado en la hora actual, utilizando datos históricos de las últimas dos semanas. Esta metodología permite estimar de manera más precisa el valor actual del promedio de 8 horas sin esperar a que esté completo.</w:t>
      </w:r>
    </w:p>
    <w:p w14:paraId="000000B8" w14:textId="77777777" w:rsidR="004F5D47" w:rsidRDefault="00000000">
      <w:pPr>
        <w:rPr>
          <w:rFonts w:ascii="Arial" w:eastAsia="Arial" w:hAnsi="Arial" w:cs="Arial"/>
          <w:b/>
          <w:bCs/>
        </w:rPr>
      </w:pPr>
      <w:r>
        <w:rPr>
          <w:rFonts w:ascii="Arial" w:eastAsia="Arial" w:hAnsi="Arial" w:cs="Arial"/>
          <w:b/>
          <w:bCs/>
        </w:rPr>
        <w:t>Comparativa con la metodología del PM (partículas)</w:t>
      </w:r>
    </w:p>
    <w:p w14:paraId="000000B9" w14:textId="77777777" w:rsidR="004F5D47" w:rsidRDefault="00000000">
      <w:pPr>
        <w:numPr>
          <w:ilvl w:val="0"/>
          <w:numId w:val="8"/>
        </w:numPr>
        <w:spacing w:after="0" w:line="240" w:lineRule="auto"/>
        <w:jc w:val="both"/>
        <w:rPr>
          <w:rFonts w:ascii="Arial" w:eastAsia="Arial" w:hAnsi="Arial" w:cs="Arial"/>
        </w:rPr>
      </w:pPr>
      <w:r>
        <w:rPr>
          <w:rFonts w:ascii="Arial" w:eastAsia="Arial" w:hAnsi="Arial" w:cs="Arial"/>
        </w:rPr>
        <w:t>Para PM</w:t>
      </w:r>
      <w:r>
        <w:rPr>
          <w:rFonts w:ascii="Arial" w:eastAsia="Arial" w:hAnsi="Arial" w:cs="Arial"/>
          <w:vertAlign w:val="subscript"/>
        </w:rPr>
        <w:t>2.5</w:t>
      </w:r>
      <w:r>
        <w:rPr>
          <w:rFonts w:ascii="Arial" w:eastAsia="Arial" w:hAnsi="Arial" w:cs="Arial"/>
        </w:rPr>
        <w:t>/PM</w:t>
      </w:r>
      <w:r>
        <w:rPr>
          <w:rFonts w:ascii="Arial" w:eastAsia="Arial" w:hAnsi="Arial" w:cs="Arial"/>
          <w:vertAlign w:val="subscript"/>
        </w:rPr>
        <w:t>10</w:t>
      </w:r>
      <w:r>
        <w:rPr>
          <w:rFonts w:ascii="Arial" w:eastAsia="Arial" w:hAnsi="Arial" w:cs="Arial"/>
        </w:rPr>
        <w:t xml:space="preserve">, el NowCast utiliza un promedio ponderado de las últimas 12 horas, aplicando un factor de peso basado en la variabilidad de los datos. Si hay cambios rápidos, se da más peso a las horas más recientes; si los valores se mantienen estables, los pesos tienden a ser uniformes. </w:t>
      </w:r>
    </w:p>
    <w:p w14:paraId="000000BA" w14:textId="77777777" w:rsidR="004F5D47" w:rsidRDefault="00000000">
      <w:pPr>
        <w:numPr>
          <w:ilvl w:val="0"/>
          <w:numId w:val="8"/>
        </w:numPr>
        <w:spacing w:after="0" w:line="240" w:lineRule="auto"/>
        <w:jc w:val="both"/>
        <w:rPr>
          <w:rFonts w:ascii="Arial" w:eastAsia="Arial" w:hAnsi="Arial" w:cs="Arial"/>
        </w:rPr>
      </w:pPr>
      <w:r>
        <w:rPr>
          <w:rFonts w:ascii="Arial" w:eastAsia="Arial" w:hAnsi="Arial" w:cs="Arial"/>
        </w:rPr>
        <w:t>Aunque el principio general es similar (mayor peso a datos recientes), el algoritmo del ozono usa un enfoque basado en regresión y predicción, más complejo que el promedio ponderado de PM.</w:t>
      </w:r>
    </w:p>
    <w:p w14:paraId="000000BB" w14:textId="77777777" w:rsidR="004F5D47" w:rsidRDefault="004F5D47">
      <w:pPr>
        <w:rPr>
          <w:rFonts w:ascii="Arial" w:eastAsia="Arial" w:hAnsi="Arial" w:cs="Arial"/>
          <w:b/>
          <w:bCs/>
        </w:rPr>
      </w:pPr>
    </w:p>
    <w:p w14:paraId="000000BC" w14:textId="77777777" w:rsidR="004F5D47" w:rsidRDefault="00000000">
      <w:pPr>
        <w:rPr>
          <w:rFonts w:ascii="Arial" w:eastAsia="Arial" w:hAnsi="Arial" w:cs="Arial"/>
        </w:rPr>
      </w:pPr>
      <w:r>
        <w:rPr>
          <w:rFonts w:ascii="Arial" w:eastAsia="Arial" w:hAnsi="Arial" w:cs="Arial"/>
        </w:rPr>
        <w:t>El ICA del ozono se basa en el promedio móvil de 8 horas. Como este valor no está disponible hasta el final del intervalo, el NowCast estima en tiempo real cuál sería ese promedio de 8 horas centrado en la hora actual, usando datos disponibles de 1 hora y series históricas recientes.</w:t>
      </w:r>
    </w:p>
    <w:p w14:paraId="000000BD" w14:textId="77777777" w:rsidR="004F5D47" w:rsidRDefault="00000000">
      <w:pPr>
        <w:rPr>
          <w:rFonts w:ascii="Arial" w:eastAsia="Arial" w:hAnsi="Arial" w:cs="Arial"/>
          <w:b/>
          <w:bCs/>
        </w:rPr>
      </w:pPr>
      <w:r>
        <w:rPr>
          <w:rFonts w:ascii="Arial" w:eastAsia="Arial" w:hAnsi="Arial" w:cs="Arial"/>
          <w:b/>
          <w:bCs/>
        </w:rPr>
        <w:t>Fundamento matemático</w:t>
      </w:r>
    </w:p>
    <w:p w14:paraId="000000BE" w14:textId="77777777" w:rsidR="004F5D47" w:rsidRDefault="00000000">
      <w:pPr>
        <w:rPr>
          <w:rFonts w:ascii="Arial" w:eastAsia="Arial" w:hAnsi="Arial" w:cs="Arial"/>
        </w:rPr>
      </w:pPr>
      <w:r>
        <w:rPr>
          <w:rFonts w:ascii="Arial" w:eastAsia="Arial" w:hAnsi="Arial" w:cs="Arial"/>
          <w:b/>
          <w:bCs/>
        </w:rPr>
        <w:t>Relación entre promedios de 1 h y 8 h</w:t>
      </w:r>
    </w:p>
    <w:p w14:paraId="000000BF" w14:textId="77777777" w:rsidR="004F5D47" w:rsidRDefault="00000000">
      <w:pPr>
        <w:spacing w:after="0" w:line="240" w:lineRule="auto"/>
        <w:jc w:val="both"/>
        <w:rPr>
          <w:rFonts w:ascii="Arial" w:eastAsia="Arial" w:hAnsi="Arial" w:cs="Arial"/>
        </w:rPr>
      </w:pPr>
      <w:r>
        <w:rPr>
          <w:rFonts w:ascii="Arial" w:eastAsia="Arial" w:hAnsi="Arial" w:cs="Arial"/>
        </w:rPr>
        <w:t>La EPA demostró que existe una fuerte correlación entre la concentración horaria de ozono y el valor del promedio de 8 horas centrado en ese mismo momento.</w:t>
      </w:r>
    </w:p>
    <w:p w14:paraId="000000C0" w14:textId="77777777" w:rsidR="004F5D47" w:rsidRDefault="004F5D47">
      <w:pPr>
        <w:spacing w:after="0" w:line="240" w:lineRule="auto"/>
        <w:jc w:val="both"/>
        <w:rPr>
          <w:rFonts w:ascii="Arial" w:eastAsia="Arial" w:hAnsi="Arial" w:cs="Arial"/>
        </w:rPr>
      </w:pPr>
    </w:p>
    <w:p w14:paraId="000000C1" w14:textId="77777777" w:rsidR="004F5D47" w:rsidRDefault="00000000">
      <w:pPr>
        <w:spacing w:after="0" w:line="240" w:lineRule="auto"/>
        <w:jc w:val="both"/>
        <w:rPr>
          <w:rFonts w:ascii="Arial" w:eastAsia="Arial" w:hAnsi="Arial" w:cs="Arial"/>
        </w:rPr>
      </w:pPr>
      <w:r>
        <w:rPr>
          <w:rFonts w:ascii="Arial" w:eastAsia="Arial" w:hAnsi="Arial" w:cs="Arial"/>
        </w:rPr>
        <w:t>Para modelar esta relación, se utiliza Regresión por Componentes Principales Parciales (RCP -PLS,</w:t>
      </w:r>
      <w:r>
        <w:rPr>
          <w:rFonts w:ascii="Arial" w:eastAsia="Arial" w:hAnsi="Arial" w:cs="Arial"/>
          <w:i/>
          <w:iCs/>
        </w:rPr>
        <w:t xml:space="preserve"> Partial Least Squares</w:t>
      </w:r>
      <w:r>
        <w:rPr>
          <w:rFonts w:ascii="Arial" w:eastAsia="Arial" w:hAnsi="Arial" w:cs="Arial"/>
        </w:rPr>
        <w:t>).</w:t>
      </w:r>
    </w:p>
    <w:p w14:paraId="000000C2" w14:textId="77777777" w:rsidR="004F5D47" w:rsidRDefault="004F5D47">
      <w:pPr>
        <w:ind w:left="1440"/>
        <w:rPr>
          <w:rFonts w:ascii="Arial" w:eastAsia="Arial" w:hAnsi="Arial" w:cs="Arial"/>
        </w:rPr>
      </w:pPr>
    </w:p>
    <w:p w14:paraId="000000C3" w14:textId="77777777" w:rsidR="004F5D47" w:rsidRDefault="00000000">
      <w:pPr>
        <w:rPr>
          <w:rFonts w:ascii="Arial" w:eastAsia="Arial" w:hAnsi="Arial" w:cs="Arial"/>
        </w:rPr>
      </w:pPr>
      <w:r>
        <w:rPr>
          <w:rFonts w:ascii="Arial" w:eastAsia="Arial" w:hAnsi="Arial" w:cs="Arial"/>
          <w:b/>
          <w:bCs/>
        </w:rPr>
        <w:t>Datos de entrenamiento</w:t>
      </w:r>
    </w:p>
    <w:p w14:paraId="000000C4" w14:textId="77777777" w:rsidR="004F5D47" w:rsidRDefault="00000000">
      <w:pPr>
        <w:numPr>
          <w:ilvl w:val="1"/>
          <w:numId w:val="6"/>
        </w:numPr>
        <w:spacing w:after="0" w:line="240" w:lineRule="auto"/>
        <w:jc w:val="both"/>
        <w:rPr>
          <w:rFonts w:ascii="Arial" w:eastAsia="Arial" w:hAnsi="Arial" w:cs="Arial"/>
        </w:rPr>
      </w:pPr>
      <w:r>
        <w:rPr>
          <w:rFonts w:ascii="Arial" w:eastAsia="Arial" w:hAnsi="Arial" w:cs="Arial"/>
        </w:rPr>
        <w:t>El modelo RCP se entrena con dos semanas previas de datos horarios de ozono troposférico de la estación.</w:t>
      </w:r>
    </w:p>
    <w:p w14:paraId="000000C5" w14:textId="77777777" w:rsidR="004F5D47" w:rsidRDefault="00000000">
      <w:pPr>
        <w:numPr>
          <w:ilvl w:val="1"/>
          <w:numId w:val="6"/>
        </w:numPr>
        <w:spacing w:after="0" w:line="240" w:lineRule="auto"/>
        <w:jc w:val="both"/>
        <w:rPr>
          <w:rFonts w:ascii="Arial" w:eastAsia="Arial" w:hAnsi="Arial" w:cs="Arial"/>
        </w:rPr>
      </w:pPr>
      <w:r>
        <w:rPr>
          <w:rFonts w:ascii="Arial" w:eastAsia="Arial" w:hAnsi="Arial" w:cs="Arial"/>
        </w:rPr>
        <w:t>Con este conjunto se construye una matriz predictiva que captura la dinámica local y reciente del ozono.</w:t>
      </w:r>
    </w:p>
    <w:p w14:paraId="000000C6" w14:textId="77777777" w:rsidR="004F5D47" w:rsidRDefault="00000000">
      <w:pPr>
        <w:rPr>
          <w:rFonts w:ascii="Arial" w:eastAsia="Arial" w:hAnsi="Arial" w:cs="Arial"/>
        </w:rPr>
      </w:pPr>
      <w:r>
        <w:rPr>
          <w:rFonts w:ascii="Arial" w:eastAsia="Arial" w:hAnsi="Arial" w:cs="Arial"/>
          <w:b/>
          <w:bCs/>
        </w:rPr>
        <w:t>Modelo RCP</w:t>
      </w:r>
    </w:p>
    <w:p w14:paraId="000000C7" w14:textId="77777777" w:rsidR="004F5D47" w:rsidRDefault="00000000">
      <w:pPr>
        <w:numPr>
          <w:ilvl w:val="1"/>
          <w:numId w:val="6"/>
        </w:numPr>
        <w:spacing w:after="0" w:line="240" w:lineRule="auto"/>
        <w:jc w:val="both"/>
        <w:rPr>
          <w:rFonts w:ascii="Arial" w:eastAsia="Arial" w:hAnsi="Arial" w:cs="Arial"/>
        </w:rPr>
      </w:pPr>
      <w:r>
        <w:rPr>
          <w:rFonts w:ascii="Arial" w:eastAsia="Arial" w:hAnsi="Arial" w:cs="Arial"/>
        </w:rPr>
        <w:t>Sea xt​ la concentración horaria de ozono en el tiempo t.</w:t>
      </w:r>
    </w:p>
    <w:p w14:paraId="000000C8" w14:textId="77777777" w:rsidR="004F5D47" w:rsidRDefault="00000000">
      <w:pPr>
        <w:numPr>
          <w:ilvl w:val="1"/>
          <w:numId w:val="6"/>
        </w:numPr>
        <w:spacing w:after="0" w:line="240" w:lineRule="auto"/>
        <w:jc w:val="both"/>
        <w:rPr>
          <w:rFonts w:ascii="Arial" w:eastAsia="Arial" w:hAnsi="Arial" w:cs="Arial"/>
        </w:rPr>
      </w:pPr>
      <w:sdt>
        <w:sdtPr>
          <w:tag w:val="goog_rdk_4"/>
          <w:id w:val="-993615591"/>
        </w:sdtPr>
        <w:sdtContent>
          <w:r>
            <w:rPr>
              <w:rFonts w:ascii="Arial Unicode MS" w:eastAsia="Arial Unicode MS" w:hAnsi="Arial Unicode MS" w:cs="Arial Unicode MS"/>
            </w:rPr>
            <w:t>El modelo PLS busca predecir el valor del promedio de 8 horas yt_ mediante combinaciones lineales de los xt−7,xt−6, xt​.</w:t>
          </w:r>
        </w:sdtContent>
      </w:sdt>
    </w:p>
    <w:p w14:paraId="000000C9" w14:textId="77777777" w:rsidR="004F5D47" w:rsidRDefault="00000000">
      <w:pPr>
        <w:numPr>
          <w:ilvl w:val="1"/>
          <w:numId w:val="6"/>
        </w:numPr>
        <w:spacing w:after="0" w:line="240" w:lineRule="auto"/>
        <w:jc w:val="both"/>
        <w:rPr>
          <w:rFonts w:ascii="Arial" w:eastAsia="Arial" w:hAnsi="Arial" w:cs="Arial"/>
        </w:rPr>
      </w:pPr>
      <w:r>
        <w:rPr>
          <w:rFonts w:ascii="Arial" w:eastAsia="Arial" w:hAnsi="Arial" w:cs="Arial"/>
        </w:rPr>
        <w:t>Formalmente:</w:t>
      </w:r>
    </w:p>
    <w:p w14:paraId="000000CA" w14:textId="77777777" w:rsidR="004F5D47" w:rsidRDefault="00000000">
      <w:pPr>
        <w:ind w:left="1080"/>
        <w:rPr>
          <w:rFonts w:ascii="Arial" w:eastAsia="Arial" w:hAnsi="Arial" w:cs="Arial"/>
        </w:rPr>
      </w:pPr>
      <w:sdt>
        <w:sdtPr>
          <w:tag w:val="goog_rdk_5"/>
          <w:id w:val="-145568925"/>
        </w:sdtPr>
        <w:sdtContent>
          <w:r>
            <w:rPr>
              <w:rFonts w:ascii="Arial Unicode MS" w:eastAsia="Arial Unicode MS" w:hAnsi="Arial Unicode MS" w:cs="Arial Unicode MS"/>
            </w:rPr>
            <w:t xml:space="preserve">                              yt​≈β0​+i=0∑7​βi​</w:t>
          </w:r>
        </w:sdtContent>
      </w:sdt>
      <w:r>
        <w:rPr>
          <w:rFonts w:ascii="Cambria Math" w:eastAsia="Cambria Math" w:hAnsi="Cambria Math" w:cs="Cambria Math"/>
        </w:rPr>
        <w:t>⋅</w:t>
      </w:r>
      <w:sdt>
        <w:sdtPr>
          <w:tag w:val="goog_rdk_6"/>
          <w:id w:val="1098807544"/>
        </w:sdtPr>
        <w:sdtContent>
          <w:r>
            <w:rPr>
              <w:rFonts w:ascii="Arial Unicode MS" w:eastAsia="Arial Unicode MS" w:hAnsi="Arial Unicode MS" w:cs="Arial Unicode MS"/>
            </w:rPr>
            <w:t>xt−i​</w:t>
          </w:r>
        </w:sdtContent>
      </w:sdt>
    </w:p>
    <w:p w14:paraId="000000CB" w14:textId="77777777" w:rsidR="004F5D47" w:rsidRDefault="00000000">
      <w:pPr>
        <w:numPr>
          <w:ilvl w:val="1"/>
          <w:numId w:val="6"/>
        </w:numPr>
        <w:spacing w:after="0" w:line="240" w:lineRule="auto"/>
        <w:jc w:val="both"/>
        <w:rPr>
          <w:rFonts w:ascii="Arial" w:eastAsia="Arial" w:hAnsi="Arial" w:cs="Arial"/>
        </w:rPr>
      </w:pPr>
      <w:r>
        <w:rPr>
          <w:rFonts w:ascii="Arial" w:eastAsia="Arial" w:hAnsi="Arial" w:cs="Arial"/>
        </w:rPr>
        <w:t>Pero en lugar de una regresión múltiple simple (que puede ser inestable si los predictores son colineales), el PLS transforma las variables en componentes latentes que maximizan la covarianza con yt.</w:t>
      </w:r>
    </w:p>
    <w:p w14:paraId="000000CC" w14:textId="77777777" w:rsidR="004F5D47" w:rsidRDefault="004F5D47">
      <w:pPr>
        <w:spacing w:after="0" w:line="240" w:lineRule="auto"/>
        <w:ind w:left="1440"/>
        <w:jc w:val="both"/>
        <w:rPr>
          <w:rFonts w:ascii="Arial" w:eastAsia="Arial" w:hAnsi="Arial" w:cs="Arial"/>
        </w:rPr>
      </w:pPr>
    </w:p>
    <w:p w14:paraId="000000CD" w14:textId="77777777" w:rsidR="004F5D47" w:rsidRDefault="00000000">
      <w:pPr>
        <w:rPr>
          <w:rFonts w:ascii="Arial" w:eastAsia="Arial" w:hAnsi="Arial" w:cs="Arial"/>
        </w:rPr>
      </w:pPr>
      <w:r>
        <w:rPr>
          <w:rFonts w:ascii="Arial" w:eastAsia="Arial" w:hAnsi="Arial" w:cs="Arial"/>
          <w:b/>
          <w:bCs/>
        </w:rPr>
        <w:t>Predicción en tiempo real</w:t>
      </w:r>
    </w:p>
    <w:p w14:paraId="000000CE" w14:textId="77777777" w:rsidR="004F5D47" w:rsidRDefault="00000000">
      <w:pPr>
        <w:numPr>
          <w:ilvl w:val="1"/>
          <w:numId w:val="6"/>
        </w:numPr>
        <w:spacing w:after="0" w:line="240" w:lineRule="auto"/>
        <w:jc w:val="both"/>
        <w:rPr>
          <w:rFonts w:ascii="Arial" w:eastAsia="Arial" w:hAnsi="Arial" w:cs="Arial"/>
        </w:rPr>
      </w:pPr>
      <w:r>
        <w:rPr>
          <w:rFonts w:ascii="Arial" w:eastAsia="Arial" w:hAnsi="Arial" w:cs="Arial"/>
        </w:rPr>
        <w:t>Con el modelo entrenado, cada nueva concentración horaria de ozono troposférico xt ​ se usa para estimar yt, es decir, el promedio de 8 h estimado (</w:t>
      </w:r>
      <w:r>
        <w:rPr>
          <w:rFonts w:ascii="Arial" w:eastAsia="Arial" w:hAnsi="Arial" w:cs="Arial"/>
          <w:i/>
          <w:iCs/>
        </w:rPr>
        <w:t>NowCast</w:t>
      </w:r>
      <w:r>
        <w:rPr>
          <w:rFonts w:ascii="Arial" w:eastAsia="Arial" w:hAnsi="Arial" w:cs="Arial"/>
        </w:rPr>
        <w:t>).</w:t>
      </w:r>
    </w:p>
    <w:p w14:paraId="000000CF" w14:textId="77777777" w:rsidR="004F5D47" w:rsidRDefault="00000000">
      <w:pPr>
        <w:numPr>
          <w:ilvl w:val="1"/>
          <w:numId w:val="6"/>
        </w:numPr>
        <w:spacing w:after="0" w:line="240" w:lineRule="auto"/>
        <w:jc w:val="both"/>
        <w:rPr>
          <w:rFonts w:ascii="Arial" w:eastAsia="Arial" w:hAnsi="Arial" w:cs="Arial"/>
        </w:rPr>
      </w:pPr>
      <w:r>
        <w:rPr>
          <w:rFonts w:ascii="Arial" w:eastAsia="Arial" w:hAnsi="Arial" w:cs="Arial"/>
        </w:rPr>
        <w:t>El algoritmo se recalibra periódicamente con los datos más recientes, manteniendo así sensibilidad a cambios en patrones diarios o meteorológicos.</w:t>
      </w:r>
    </w:p>
    <w:p w14:paraId="000000D0" w14:textId="77777777" w:rsidR="004F5D47" w:rsidRDefault="004F5D47">
      <w:pPr>
        <w:spacing w:after="0" w:line="240" w:lineRule="auto"/>
        <w:ind w:left="1440"/>
        <w:jc w:val="both"/>
        <w:rPr>
          <w:rFonts w:ascii="Arial" w:eastAsia="Arial" w:hAnsi="Arial" w:cs="Arial"/>
        </w:rPr>
      </w:pPr>
    </w:p>
    <w:p w14:paraId="000000D1" w14:textId="77777777" w:rsidR="004F5D47" w:rsidRDefault="00000000">
      <w:pPr>
        <w:rPr>
          <w:rFonts w:ascii="Arial" w:eastAsia="Arial" w:hAnsi="Arial" w:cs="Arial"/>
          <w:b/>
          <w:bCs/>
        </w:rPr>
      </w:pPr>
      <w:r>
        <w:rPr>
          <w:rFonts w:ascii="Arial" w:eastAsia="Arial" w:hAnsi="Arial" w:cs="Arial"/>
          <w:b/>
          <w:bCs/>
        </w:rPr>
        <w:t>Comparación con el método previo</w:t>
      </w:r>
    </w:p>
    <w:p w14:paraId="000000D2" w14:textId="77777777" w:rsidR="004F5D47" w:rsidRDefault="00000000">
      <w:pPr>
        <w:numPr>
          <w:ilvl w:val="0"/>
          <w:numId w:val="7"/>
        </w:numPr>
        <w:spacing w:after="0" w:line="240" w:lineRule="auto"/>
        <w:jc w:val="both"/>
        <w:rPr>
          <w:rFonts w:ascii="Arial" w:eastAsia="Arial" w:hAnsi="Arial" w:cs="Arial"/>
        </w:rPr>
      </w:pPr>
      <w:r>
        <w:rPr>
          <w:rFonts w:ascii="Arial" w:eastAsia="Arial" w:hAnsi="Arial" w:cs="Arial"/>
        </w:rPr>
        <w:t>Antes de 2019, la EPA usaba un método más simple (interpolación entre promedios de 8 h completados).</w:t>
      </w:r>
    </w:p>
    <w:p w14:paraId="000000D3" w14:textId="77777777" w:rsidR="004F5D47" w:rsidRDefault="00000000">
      <w:pPr>
        <w:numPr>
          <w:ilvl w:val="0"/>
          <w:numId w:val="7"/>
        </w:numPr>
        <w:spacing w:after="0" w:line="240" w:lineRule="auto"/>
        <w:jc w:val="both"/>
        <w:rPr>
          <w:rFonts w:ascii="Arial" w:eastAsia="Arial" w:hAnsi="Arial" w:cs="Arial"/>
        </w:rPr>
      </w:pPr>
      <w:r>
        <w:rPr>
          <w:rFonts w:ascii="Arial" w:eastAsia="Arial" w:hAnsi="Arial" w:cs="Arial"/>
        </w:rPr>
        <w:t>Este método podría sobrestimar en descensos rápidos y subestimar en ascensos rápidos de ozono troposférico.</w:t>
      </w:r>
    </w:p>
    <w:p w14:paraId="000000D4" w14:textId="77777777" w:rsidR="004F5D47" w:rsidRDefault="00000000">
      <w:pPr>
        <w:numPr>
          <w:ilvl w:val="0"/>
          <w:numId w:val="7"/>
        </w:numPr>
        <w:spacing w:after="0" w:line="240" w:lineRule="auto"/>
        <w:jc w:val="both"/>
        <w:rPr>
          <w:rFonts w:ascii="Arial" w:eastAsia="Arial" w:hAnsi="Arial" w:cs="Arial"/>
        </w:rPr>
      </w:pPr>
      <w:r>
        <w:rPr>
          <w:rFonts w:ascii="Arial" w:eastAsia="Arial" w:hAnsi="Arial" w:cs="Arial"/>
        </w:rPr>
        <w:t xml:space="preserve">El </w:t>
      </w:r>
      <w:r>
        <w:rPr>
          <w:rFonts w:ascii="Arial" w:eastAsia="Arial" w:hAnsi="Arial" w:cs="Arial"/>
          <w:i/>
          <w:iCs/>
        </w:rPr>
        <w:t>NowCast</w:t>
      </w:r>
      <w:r>
        <w:rPr>
          <w:rFonts w:ascii="Arial" w:eastAsia="Arial" w:hAnsi="Arial" w:cs="Arial"/>
        </w:rPr>
        <w:t xml:space="preserve"> basado en PLS reduce esos errores al dar más peso a las horas recientes cuando los niveles cambian rápidamente.</w:t>
      </w:r>
    </w:p>
    <w:p w14:paraId="000000D5"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Además, para revisar la posibilidad de uso del método NowCast para O</w:t>
      </w:r>
      <w:r>
        <w:rPr>
          <w:rFonts w:ascii="Arial" w:eastAsia="Arial" w:hAnsi="Arial" w:cs="Arial"/>
          <w:vertAlign w:val="subscript"/>
        </w:rPr>
        <w:t>3</w:t>
      </w:r>
      <w:r>
        <w:rPr>
          <w:rFonts w:ascii="Arial" w:eastAsia="Arial" w:hAnsi="Arial" w:cs="Arial"/>
        </w:rPr>
        <w:t xml:space="preserve"> se realizó un análisis histórico relacionado a la cantidad de episodios que este contaminante ha superado el valor de guía de acuerdo a la OMS(OMS, 2021). </w:t>
      </w:r>
    </w:p>
    <w:p w14:paraId="000000D6"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 xml:space="preserve">De acuerdo con el análisis presentado en el </w:t>
      </w:r>
      <w:r>
        <w:rPr>
          <w:rFonts w:ascii="Arial" w:eastAsia="Arial" w:hAnsi="Arial" w:cs="Arial"/>
          <w:highlight w:val="yellow"/>
        </w:rPr>
        <w:t xml:space="preserve">Anexo 2 </w:t>
      </w:r>
      <w:r>
        <w:rPr>
          <w:rFonts w:ascii="Arial" w:eastAsia="Arial" w:hAnsi="Arial" w:cs="Arial"/>
        </w:rPr>
        <w:t>no pareciera necesario aplicar el método NowCast para O</w:t>
      </w:r>
      <w:r>
        <w:rPr>
          <w:rFonts w:ascii="Arial" w:eastAsia="Arial" w:hAnsi="Arial" w:cs="Arial"/>
          <w:vertAlign w:val="subscript"/>
        </w:rPr>
        <w:t>3</w:t>
      </w:r>
      <w:r>
        <w:rPr>
          <w:rFonts w:ascii="Arial" w:eastAsia="Arial" w:hAnsi="Arial" w:cs="Arial"/>
        </w:rPr>
        <w:t xml:space="preserve">. En la ciudad si se presentan episodios en los que el ozono troposférico supera los valores guía, sin embargo, estos episodios no se presentan de manera frecuente ni tampoco de forma extendida en más de 2 estaciones de monitoreo. </w:t>
      </w:r>
    </w:p>
    <w:p w14:paraId="000000D7"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i/>
          <w:iCs/>
        </w:rPr>
        <w:t>b) Estudios en salud y ambiente (arriba mencionados), para ajustar los umbrales del IBOCA con base en datos locales de Bogotá y no solo con la información de la OMS</w:t>
      </w:r>
      <w:r>
        <w:rPr>
          <w:rFonts w:ascii="Arial" w:eastAsia="Arial" w:hAnsi="Arial" w:cs="Arial"/>
        </w:rPr>
        <w:t>.</w:t>
      </w:r>
    </w:p>
    <w:p w14:paraId="000000D8" w14:textId="77777777" w:rsidR="004F5D47" w:rsidRDefault="00000000">
      <w:pPr>
        <w:tabs>
          <w:tab w:val="left" w:pos="541"/>
          <w:tab w:val="left" w:pos="2062"/>
        </w:tabs>
        <w:spacing w:before="240" w:after="240"/>
        <w:jc w:val="both"/>
        <w:rPr>
          <w:rFonts w:ascii="Arial" w:eastAsia="Arial" w:hAnsi="Arial" w:cs="Arial"/>
          <w:highlight w:val="white"/>
        </w:rPr>
      </w:pPr>
      <w:r>
        <w:rPr>
          <w:rFonts w:ascii="Arial" w:eastAsia="Arial" w:hAnsi="Arial" w:cs="Arial"/>
          <w:highlight w:val="white"/>
        </w:rPr>
        <w:t>Se realizó un análisis en conjunto entre la SDS y la SDA para estimar los riesgos relativos locales de las mortalidades específicas por  PM</w:t>
      </w:r>
      <w:r>
        <w:rPr>
          <w:rFonts w:ascii="Arial" w:eastAsia="Arial" w:hAnsi="Arial" w:cs="Arial"/>
          <w:highlight w:val="white"/>
          <w:vertAlign w:val="subscript"/>
        </w:rPr>
        <w:t>10</w:t>
      </w:r>
      <w:r>
        <w:rPr>
          <w:rFonts w:ascii="Arial" w:eastAsia="Arial" w:hAnsi="Arial" w:cs="Arial"/>
          <w:highlight w:val="white"/>
        </w:rPr>
        <w:t>, PM</w:t>
      </w:r>
      <w:r>
        <w:rPr>
          <w:rFonts w:ascii="Arial" w:eastAsia="Arial" w:hAnsi="Arial" w:cs="Arial"/>
          <w:highlight w:val="white"/>
          <w:vertAlign w:val="subscript"/>
        </w:rPr>
        <w:t>2,5</w:t>
      </w:r>
      <w:r>
        <w:rPr>
          <w:rFonts w:ascii="Arial" w:eastAsia="Arial" w:hAnsi="Arial" w:cs="Arial"/>
          <w:highlight w:val="white"/>
        </w:rPr>
        <w:t>, O</w:t>
      </w:r>
      <w:r>
        <w:rPr>
          <w:rFonts w:ascii="Arial" w:eastAsia="Arial" w:hAnsi="Arial" w:cs="Arial"/>
          <w:highlight w:val="white"/>
          <w:vertAlign w:val="subscript"/>
        </w:rPr>
        <w:t>3</w:t>
      </w:r>
      <w:r>
        <w:rPr>
          <w:rFonts w:ascii="Arial" w:eastAsia="Arial" w:hAnsi="Arial" w:cs="Arial"/>
          <w:highlight w:val="white"/>
        </w:rPr>
        <w:t xml:space="preserve"> y NO</w:t>
      </w:r>
      <w:r>
        <w:rPr>
          <w:rFonts w:ascii="Arial" w:eastAsia="Arial" w:hAnsi="Arial" w:cs="Arial"/>
          <w:highlight w:val="white"/>
          <w:vertAlign w:val="subscript"/>
        </w:rPr>
        <w:t>2</w:t>
      </w:r>
      <w:r>
        <w:rPr>
          <w:rFonts w:ascii="Arial" w:eastAsia="Arial" w:hAnsi="Arial" w:cs="Arial"/>
          <w:highlight w:val="white"/>
        </w:rPr>
        <w:t>. Se encontró  que  los riesgos relativos RR para los contaminantes PM</w:t>
      </w:r>
      <w:r>
        <w:rPr>
          <w:rFonts w:ascii="Arial" w:eastAsia="Arial" w:hAnsi="Arial" w:cs="Arial"/>
          <w:highlight w:val="white"/>
          <w:vertAlign w:val="subscript"/>
        </w:rPr>
        <w:t>10</w:t>
      </w:r>
      <w:r>
        <w:rPr>
          <w:rFonts w:ascii="Arial" w:eastAsia="Arial" w:hAnsi="Arial" w:cs="Arial"/>
          <w:highlight w:val="white"/>
        </w:rPr>
        <w:t>, PM</w:t>
      </w:r>
      <w:r>
        <w:rPr>
          <w:rFonts w:ascii="Arial" w:eastAsia="Arial" w:hAnsi="Arial" w:cs="Arial"/>
          <w:highlight w:val="white"/>
          <w:vertAlign w:val="subscript"/>
        </w:rPr>
        <w:t>2,5</w:t>
      </w:r>
      <w:r>
        <w:rPr>
          <w:rFonts w:ascii="Arial" w:eastAsia="Arial" w:hAnsi="Arial" w:cs="Arial"/>
          <w:highlight w:val="white"/>
        </w:rPr>
        <w:t xml:space="preserve">, en la mortalidad natural (1,011 y 1,006, respectivamente) del estudio local fueron más altos que los utilizados por la OMS en la actualización de la GCA 2021. </w:t>
      </w:r>
    </w:p>
    <w:p w14:paraId="000000D9" w14:textId="77777777" w:rsidR="004F5D47" w:rsidRDefault="00000000">
      <w:pPr>
        <w:tabs>
          <w:tab w:val="left" w:pos="541"/>
          <w:tab w:val="left" w:pos="2062"/>
        </w:tabs>
        <w:spacing w:before="240" w:after="240"/>
        <w:jc w:val="both"/>
        <w:rPr>
          <w:rFonts w:ascii="Arial" w:eastAsia="Arial" w:hAnsi="Arial" w:cs="Arial"/>
          <w:highlight w:val="white"/>
        </w:rPr>
      </w:pPr>
      <w:r>
        <w:rPr>
          <w:rFonts w:ascii="Arial" w:eastAsia="Arial" w:hAnsi="Arial" w:cs="Arial"/>
          <w:highlight w:val="white"/>
        </w:rPr>
        <w:t>Es necesario explorar, validar, evaluar  y definir la pertinencia de incorporar los resultados locales para los umbrales del IBOCA.</w:t>
      </w:r>
    </w:p>
    <w:p w14:paraId="000000DA" w14:textId="77777777" w:rsidR="004F5D47" w:rsidRDefault="00000000">
      <w:pPr>
        <w:tabs>
          <w:tab w:val="left" w:pos="541"/>
          <w:tab w:val="left" w:pos="2062"/>
        </w:tabs>
        <w:spacing w:before="240" w:after="240"/>
        <w:jc w:val="both"/>
        <w:rPr>
          <w:rFonts w:ascii="Arial" w:eastAsia="Arial" w:hAnsi="Arial" w:cs="Arial"/>
          <w:i/>
          <w:iCs/>
          <w:highlight w:val="white"/>
        </w:rPr>
      </w:pPr>
      <w:r>
        <w:rPr>
          <w:rFonts w:ascii="Arial" w:eastAsia="Arial" w:hAnsi="Arial" w:cs="Arial"/>
          <w:i/>
          <w:iCs/>
          <w:highlight w:val="white"/>
        </w:rPr>
        <w:t>c) Revisión de indicadores en salud que pueden usarse en futuras versiones del IBOCA</w:t>
      </w:r>
    </w:p>
    <w:p w14:paraId="000000DB" w14:textId="77777777" w:rsidR="004F5D47" w:rsidRDefault="00000000">
      <w:pPr>
        <w:tabs>
          <w:tab w:val="left" w:pos="541"/>
          <w:tab w:val="left" w:pos="2062"/>
        </w:tabs>
        <w:spacing w:before="240" w:after="240"/>
        <w:jc w:val="both"/>
        <w:rPr>
          <w:rFonts w:ascii="Arial" w:eastAsia="Arial" w:hAnsi="Arial" w:cs="Arial"/>
          <w:highlight w:val="white"/>
        </w:rPr>
      </w:pPr>
      <w:r>
        <w:rPr>
          <w:rFonts w:ascii="Arial" w:eastAsia="Arial" w:hAnsi="Arial" w:cs="Arial"/>
          <w:highlight w:val="white"/>
        </w:rPr>
        <w:t xml:space="preserve">Se realizó una revisión preliminar de los posibles indicadores a incorporar en el IBOCA, identificando como prioritarios aquellos sensibles a efectos agudos de la contaminación del aire. Entre estos se destacan los </w:t>
      </w:r>
      <w:r>
        <w:rPr>
          <w:rFonts w:ascii="Arial" w:eastAsia="Arial" w:hAnsi="Arial" w:cs="Arial"/>
          <w:b/>
          <w:bCs/>
          <w:highlight w:val="white"/>
        </w:rPr>
        <w:t xml:space="preserve">servicios de urgencias, </w:t>
      </w:r>
      <w:r>
        <w:rPr>
          <w:rFonts w:ascii="Arial" w:eastAsia="Arial" w:hAnsi="Arial" w:cs="Arial"/>
          <w:highlight w:val="white"/>
        </w:rPr>
        <w:t>particularmente las visitas por exacerbaciones de asma (incluyendo broncoespasmo), enfermedad pulmonar obstructiva crónica (EPOC), infecciones respiratorias agudas bajas (IRAB) y eventos cardiovasculares agudos como el síndrome coronario agudo. Estos desenlaces han sido ampliamente utilizados como indicadores de efectos a corto plazo en estudios basados en Índices de Calidad del Aire (ICA) (Liu et al., 2016; Surit et al., 2023).</w:t>
      </w:r>
    </w:p>
    <w:p w14:paraId="000000DC" w14:textId="77777777" w:rsidR="004F5D47" w:rsidRDefault="00000000">
      <w:pPr>
        <w:tabs>
          <w:tab w:val="left" w:pos="541"/>
          <w:tab w:val="left" w:pos="2062"/>
        </w:tabs>
        <w:spacing w:before="240" w:after="240"/>
        <w:jc w:val="both"/>
        <w:rPr>
          <w:rFonts w:ascii="Arial" w:eastAsia="Arial" w:hAnsi="Arial" w:cs="Arial"/>
          <w:highlight w:val="white"/>
        </w:rPr>
      </w:pPr>
      <w:r>
        <w:rPr>
          <w:rFonts w:ascii="Arial" w:eastAsia="Arial" w:hAnsi="Arial" w:cs="Arial"/>
          <w:highlight w:val="white"/>
        </w:rPr>
        <w:t>La vigilancia de estos eventos en salud puede realizarse a partir de los registros de atención en los servicios de urgencias de las Instituciones Prestadoras de Servicios de Salud (IPS), lo que permite monitorear su comportamiento en relación con la exposición a contaminantes atmosféricos. Este seguimiento se fundamenta en el uso de diagnósticos codificados según la Clasificación Internacional de Enfermedades, décima revisión (CIE-10), garantizando la estandarización y comparabilidad de la información.</w:t>
      </w:r>
    </w:p>
    <w:p w14:paraId="000000DD" w14:textId="77777777" w:rsidR="004F5D47" w:rsidRDefault="00000000">
      <w:pPr>
        <w:tabs>
          <w:tab w:val="left" w:pos="541"/>
          <w:tab w:val="left" w:pos="2062"/>
        </w:tabs>
        <w:spacing w:before="240" w:after="240"/>
        <w:jc w:val="both"/>
        <w:rPr>
          <w:rFonts w:ascii="Arial" w:eastAsia="Arial" w:hAnsi="Arial" w:cs="Arial"/>
          <w:highlight w:val="white"/>
        </w:rPr>
      </w:pPr>
      <w:r>
        <w:rPr>
          <w:rFonts w:ascii="Arial" w:eastAsia="Arial" w:hAnsi="Arial" w:cs="Arial"/>
          <w:highlight w:val="white"/>
        </w:rPr>
        <w:t>Dentro de los principales grupos de eventos objeto de vigilancia se incluyen: enfermedades cardiovasculares (CIE-10 I00–I99), enfermedades isquémicas del corazón (I20–I25), enfermedades cerebrovasculares (I60–I69), enfermedades respiratorias (J00–J99), infecciones respiratorias agudas (J00–J06, J10–J18, J20–J22), enfermedades pulmonares obstructivas crónicas (J40–J44, J47) y asma (J45–J46).</w:t>
      </w:r>
    </w:p>
    <w:p w14:paraId="000000DE" w14:textId="77777777" w:rsidR="004F5D47" w:rsidRDefault="004F5D47">
      <w:pPr>
        <w:tabs>
          <w:tab w:val="left" w:pos="541"/>
          <w:tab w:val="left" w:pos="2062"/>
        </w:tabs>
        <w:spacing w:before="240" w:after="240"/>
        <w:jc w:val="both"/>
        <w:rPr>
          <w:rFonts w:ascii="Arial" w:eastAsia="Arial" w:hAnsi="Arial" w:cs="Arial"/>
          <w:highlight w:val="white"/>
        </w:rPr>
      </w:pPr>
    </w:p>
    <w:p w14:paraId="000000DF" w14:textId="77777777" w:rsidR="004F5D47" w:rsidRDefault="004F5D47">
      <w:pPr>
        <w:tabs>
          <w:tab w:val="left" w:pos="541"/>
          <w:tab w:val="left" w:pos="2062"/>
        </w:tabs>
        <w:spacing w:before="240" w:after="240"/>
        <w:jc w:val="both"/>
        <w:rPr>
          <w:rFonts w:ascii="Arial" w:eastAsia="Arial" w:hAnsi="Arial" w:cs="Arial"/>
          <w:highlight w:val="white"/>
        </w:rPr>
      </w:pPr>
    </w:p>
    <w:p w14:paraId="000000E0"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d) Definición de la metodología de validación del IBOCA (para diferentes versiones).</w:t>
      </w:r>
    </w:p>
    <w:p w14:paraId="000000E1" w14:textId="77777777" w:rsidR="004F5D47" w:rsidRDefault="00000000">
      <w:pPr>
        <w:keepNext/>
        <w:pBdr>
          <w:top w:val="nil"/>
          <w:left w:val="nil"/>
          <w:bottom w:val="nil"/>
          <w:right w:val="nil"/>
          <w:between w:val="nil"/>
        </w:pBdr>
        <w:spacing w:after="200" w:line="240" w:lineRule="auto"/>
        <w:jc w:val="both"/>
        <w:rPr>
          <w:i/>
          <w:iCs/>
          <w:color w:val="44546A"/>
          <w:sz w:val="18"/>
          <w:szCs w:val="18"/>
        </w:rPr>
      </w:pPr>
      <w:r>
        <w:rPr>
          <w:i/>
          <w:iCs/>
          <w:color w:val="44546A"/>
          <w:sz w:val="18"/>
          <w:szCs w:val="18"/>
        </w:rPr>
        <w:t>Figura 1 Pasos para la validación de un Índice de Calidad del Aire</w:t>
      </w:r>
    </w:p>
    <w:p w14:paraId="000000E2" w14:textId="77777777" w:rsidR="004F5D47" w:rsidRDefault="00000000">
      <w:pPr>
        <w:tabs>
          <w:tab w:val="left" w:pos="541"/>
          <w:tab w:val="left" w:pos="2062"/>
        </w:tabs>
        <w:spacing w:before="240" w:after="240"/>
        <w:jc w:val="both"/>
        <w:rPr>
          <w:rFonts w:ascii="Arial" w:eastAsia="Arial" w:hAnsi="Arial" w:cs="Arial"/>
        </w:rPr>
      </w:pPr>
      <w:r>
        <w:rPr>
          <w:rFonts w:ascii="Cambria" w:eastAsia="Cambria" w:hAnsi="Cambria" w:cs="Cambria"/>
          <w:noProof/>
        </w:rPr>
        <mc:AlternateContent>
          <mc:Choice Requires="wpg">
            <w:drawing>
              <wp:inline distT="0" distB="0" distL="0" distR="0" wp14:anchorId="782EF9B9" wp14:editId="3D2F1DC7">
                <wp:extent cx="5041900" cy="2565400"/>
                <wp:effectExtent l="0" t="0" r="0" b="0"/>
                <wp:docPr id="875461171" name="Grupo 875461171"/>
                <wp:cNvGraphicFramePr/>
                <a:graphic xmlns:a="http://schemas.openxmlformats.org/drawingml/2006/main">
                  <a:graphicData uri="http://schemas.microsoft.com/office/word/2010/wordprocessingGroup">
                    <wpg:wgp>
                      <wpg:cNvGrpSpPr/>
                      <wpg:grpSpPr>
                        <a:xfrm>
                          <a:off x="0" y="0"/>
                          <a:ext cx="5041900" cy="2565400"/>
                          <a:chOff x="0" y="0"/>
                          <a:chExt cx="5041900" cy="2578050"/>
                        </a:xfrm>
                      </wpg:grpSpPr>
                      <wpg:grpSp>
                        <wpg:cNvPr id="1856199577" name="Grupo 1856199577"/>
                        <wpg:cNvGrpSpPr/>
                        <wpg:grpSpPr>
                          <a:xfrm>
                            <a:off x="0" y="0"/>
                            <a:ext cx="5041900" cy="2565400"/>
                            <a:chOff x="0" y="0"/>
                            <a:chExt cx="5041900" cy="2565400"/>
                          </a:xfrm>
                        </wpg:grpSpPr>
                        <wps:wsp>
                          <wps:cNvPr id="1913433477" name="Rectángulo 1913433477"/>
                          <wps:cNvSpPr/>
                          <wps:spPr>
                            <a:xfrm>
                              <a:off x="0" y="0"/>
                              <a:ext cx="5041900" cy="2565400"/>
                            </a:xfrm>
                            <a:prstGeom prst="rect">
                              <a:avLst/>
                            </a:prstGeom>
                            <a:noFill/>
                            <a:ln>
                              <a:noFill/>
                            </a:ln>
                          </wps:spPr>
                          <wps:txbx>
                            <w:txbxContent>
                              <w:p w14:paraId="4C02AACC" w14:textId="77777777" w:rsidR="004F5D47" w:rsidRDefault="004F5D47">
                                <w:pPr>
                                  <w:spacing w:after="0" w:line="240" w:lineRule="auto"/>
                                  <w:textDirection w:val="btLr"/>
                                </w:pPr>
                              </w:p>
                            </w:txbxContent>
                          </wps:txbx>
                          <wps:bodyPr spcFirstLastPara="1" wrap="square" lIns="91425" tIns="91425" rIns="91425" bIns="91425" anchor="ctr" anchorCtr="0">
                            <a:noAutofit/>
                          </wps:bodyPr>
                        </wps:wsp>
                        <wps:wsp>
                          <wps:cNvPr id="2090015882" name="Rectángulo 2090015882"/>
                          <wps:cNvSpPr/>
                          <wps:spPr>
                            <a:xfrm>
                              <a:off x="468739" y="68"/>
                              <a:ext cx="1282631" cy="769579"/>
                            </a:xfrm>
                            <a:prstGeom prst="rect">
                              <a:avLst/>
                            </a:prstGeom>
                            <a:solidFill>
                              <a:srgbClr val="4F81BD"/>
                            </a:solidFill>
                            <a:ln w="25400" cap="flat" cmpd="sng">
                              <a:solidFill>
                                <a:srgbClr val="FFFFFF"/>
                              </a:solidFill>
                              <a:prstDash val="solid"/>
                              <a:miter lim="800000"/>
                              <a:headEnd type="none" w="sm" len="sm"/>
                              <a:tailEnd type="none" w="sm" len="sm"/>
                            </a:ln>
                          </wps:spPr>
                          <wps:txbx>
                            <w:txbxContent>
                              <w:p w14:paraId="7A38ECD8" w14:textId="77777777" w:rsidR="004F5D47" w:rsidRDefault="004F5D47">
                                <w:pPr>
                                  <w:spacing w:after="0" w:line="240" w:lineRule="auto"/>
                                  <w:textDirection w:val="btLr"/>
                                </w:pPr>
                              </w:p>
                            </w:txbxContent>
                          </wps:txbx>
                          <wps:bodyPr spcFirstLastPara="1" wrap="square" lIns="91425" tIns="91425" rIns="91425" bIns="91425" anchor="ctr" anchorCtr="0">
                            <a:noAutofit/>
                          </wps:bodyPr>
                        </wps:wsp>
                        <wps:wsp>
                          <wps:cNvPr id="1592152609" name="Cuadro de texto 1592152609"/>
                          <wps:cNvSpPr txBox="1"/>
                          <wps:spPr>
                            <a:xfrm>
                              <a:off x="468739" y="68"/>
                              <a:ext cx="1282631" cy="769579"/>
                            </a:xfrm>
                            <a:prstGeom prst="rect">
                              <a:avLst/>
                            </a:prstGeom>
                            <a:noFill/>
                            <a:ln>
                              <a:noFill/>
                            </a:ln>
                          </wps:spPr>
                          <wps:txbx>
                            <w:txbxContent>
                              <w:p w14:paraId="151226AE" w14:textId="77777777" w:rsidR="004F5D47" w:rsidRDefault="00000000">
                                <w:pPr>
                                  <w:spacing w:after="0" w:line="215" w:lineRule="auto"/>
                                  <w:jc w:val="center"/>
                                  <w:textDirection w:val="btLr"/>
                                </w:pPr>
                                <w:r>
                                  <w:rPr>
                                    <w:rFonts w:ascii="Cambria" w:eastAsia="Cambria" w:hAnsi="Cambria" w:cs="Cambria"/>
                                    <w:b/>
                                    <w:color w:val="FFFFFF"/>
                                    <w:sz w:val="24"/>
                                  </w:rPr>
                                  <w:t>Definición conceptual y metodológica</w:t>
                                </w:r>
                              </w:p>
                            </w:txbxContent>
                          </wps:txbx>
                          <wps:bodyPr spcFirstLastPara="1" wrap="square" lIns="45700" tIns="45700" rIns="45700" bIns="45700" anchor="ctr" anchorCtr="0">
                            <a:noAutofit/>
                          </wps:bodyPr>
                        </wps:wsp>
                        <wps:wsp>
                          <wps:cNvPr id="351092453" name="Rectángulo 351092453"/>
                          <wps:cNvSpPr/>
                          <wps:spPr>
                            <a:xfrm>
                              <a:off x="1879634" y="68"/>
                              <a:ext cx="1282631" cy="769579"/>
                            </a:xfrm>
                            <a:prstGeom prst="rect">
                              <a:avLst/>
                            </a:prstGeom>
                            <a:solidFill>
                              <a:srgbClr val="4F81BD"/>
                            </a:solidFill>
                            <a:ln w="25400" cap="flat" cmpd="sng">
                              <a:solidFill>
                                <a:srgbClr val="FFFFFF"/>
                              </a:solidFill>
                              <a:prstDash val="solid"/>
                              <a:miter lim="800000"/>
                              <a:headEnd type="none" w="sm" len="sm"/>
                              <a:tailEnd type="none" w="sm" len="sm"/>
                            </a:ln>
                          </wps:spPr>
                          <wps:txbx>
                            <w:txbxContent>
                              <w:p w14:paraId="40739E01" w14:textId="77777777" w:rsidR="004F5D47" w:rsidRDefault="004F5D47">
                                <w:pPr>
                                  <w:spacing w:after="0" w:line="240" w:lineRule="auto"/>
                                  <w:textDirection w:val="btLr"/>
                                </w:pPr>
                              </w:p>
                            </w:txbxContent>
                          </wps:txbx>
                          <wps:bodyPr spcFirstLastPara="1" wrap="square" lIns="91425" tIns="91425" rIns="91425" bIns="91425" anchor="ctr" anchorCtr="0">
                            <a:noAutofit/>
                          </wps:bodyPr>
                        </wps:wsp>
                        <wps:wsp>
                          <wps:cNvPr id="488208126" name="Cuadro de texto 488208126"/>
                          <wps:cNvSpPr txBox="1"/>
                          <wps:spPr>
                            <a:xfrm>
                              <a:off x="1879634" y="68"/>
                              <a:ext cx="1282631" cy="769579"/>
                            </a:xfrm>
                            <a:prstGeom prst="rect">
                              <a:avLst/>
                            </a:prstGeom>
                            <a:noFill/>
                            <a:ln>
                              <a:noFill/>
                            </a:ln>
                          </wps:spPr>
                          <wps:txbx>
                            <w:txbxContent>
                              <w:p w14:paraId="42A4E8C6" w14:textId="77777777" w:rsidR="004F5D47" w:rsidRDefault="00000000">
                                <w:pPr>
                                  <w:spacing w:after="0" w:line="215" w:lineRule="auto"/>
                                  <w:jc w:val="center"/>
                                  <w:textDirection w:val="btLr"/>
                                </w:pPr>
                                <w:r>
                                  <w:rPr>
                                    <w:rFonts w:ascii="Cambria" w:eastAsia="Cambria" w:hAnsi="Cambria" w:cs="Cambria"/>
                                    <w:b/>
                                    <w:color w:val="FFFFFF"/>
                                    <w:sz w:val="24"/>
                                  </w:rPr>
                                  <w:t>Validez de contenido</w:t>
                                </w:r>
                              </w:p>
                            </w:txbxContent>
                          </wps:txbx>
                          <wps:bodyPr spcFirstLastPara="1" wrap="square" lIns="45700" tIns="45700" rIns="45700" bIns="45700" anchor="ctr" anchorCtr="0">
                            <a:noAutofit/>
                          </wps:bodyPr>
                        </wps:wsp>
                        <wps:wsp>
                          <wps:cNvPr id="364067570" name="Rectángulo 364067570"/>
                          <wps:cNvSpPr/>
                          <wps:spPr>
                            <a:xfrm>
                              <a:off x="3290529" y="68"/>
                              <a:ext cx="1282631" cy="769579"/>
                            </a:xfrm>
                            <a:prstGeom prst="rect">
                              <a:avLst/>
                            </a:prstGeom>
                            <a:solidFill>
                              <a:srgbClr val="4F81BD"/>
                            </a:solidFill>
                            <a:ln w="25400" cap="flat" cmpd="sng">
                              <a:solidFill>
                                <a:srgbClr val="FFFFFF"/>
                              </a:solidFill>
                              <a:prstDash val="solid"/>
                              <a:miter lim="800000"/>
                              <a:headEnd type="none" w="sm" len="sm"/>
                              <a:tailEnd type="none" w="sm" len="sm"/>
                            </a:ln>
                          </wps:spPr>
                          <wps:txbx>
                            <w:txbxContent>
                              <w:p w14:paraId="71449DE2" w14:textId="77777777" w:rsidR="004F5D47" w:rsidRDefault="004F5D47">
                                <w:pPr>
                                  <w:spacing w:after="0" w:line="240" w:lineRule="auto"/>
                                  <w:textDirection w:val="btLr"/>
                                </w:pPr>
                              </w:p>
                            </w:txbxContent>
                          </wps:txbx>
                          <wps:bodyPr spcFirstLastPara="1" wrap="square" lIns="91425" tIns="91425" rIns="91425" bIns="91425" anchor="ctr" anchorCtr="0">
                            <a:noAutofit/>
                          </wps:bodyPr>
                        </wps:wsp>
                        <wps:wsp>
                          <wps:cNvPr id="440262618" name="Cuadro de texto 440262618"/>
                          <wps:cNvSpPr txBox="1"/>
                          <wps:spPr>
                            <a:xfrm>
                              <a:off x="3290529" y="68"/>
                              <a:ext cx="1282631" cy="769579"/>
                            </a:xfrm>
                            <a:prstGeom prst="rect">
                              <a:avLst/>
                            </a:prstGeom>
                            <a:noFill/>
                            <a:ln>
                              <a:noFill/>
                            </a:ln>
                          </wps:spPr>
                          <wps:txbx>
                            <w:txbxContent>
                              <w:p w14:paraId="0973CDA0" w14:textId="77777777" w:rsidR="004F5D47" w:rsidRDefault="00000000">
                                <w:pPr>
                                  <w:spacing w:after="0" w:line="215" w:lineRule="auto"/>
                                  <w:jc w:val="center"/>
                                  <w:textDirection w:val="btLr"/>
                                </w:pPr>
                                <w:r>
                                  <w:rPr>
                                    <w:rFonts w:ascii="Cambria" w:eastAsia="Cambria" w:hAnsi="Cambria" w:cs="Cambria"/>
                                    <w:b/>
                                    <w:color w:val="FFFFFF"/>
                                    <w:sz w:val="24"/>
                                  </w:rPr>
                                  <w:t>Validez de criterio</w:t>
                                </w:r>
                              </w:p>
                            </w:txbxContent>
                          </wps:txbx>
                          <wps:bodyPr spcFirstLastPara="1" wrap="square" lIns="45700" tIns="45700" rIns="45700" bIns="45700" anchor="ctr" anchorCtr="0">
                            <a:noAutofit/>
                          </wps:bodyPr>
                        </wps:wsp>
                        <wps:wsp>
                          <wps:cNvPr id="1686641049" name="Rectángulo 1686641049"/>
                          <wps:cNvSpPr/>
                          <wps:spPr>
                            <a:xfrm>
                              <a:off x="468739" y="897910"/>
                              <a:ext cx="1282631" cy="769579"/>
                            </a:xfrm>
                            <a:prstGeom prst="rect">
                              <a:avLst/>
                            </a:prstGeom>
                            <a:solidFill>
                              <a:srgbClr val="4F81BD"/>
                            </a:solidFill>
                            <a:ln w="25400" cap="flat" cmpd="sng">
                              <a:solidFill>
                                <a:srgbClr val="FFFFFF"/>
                              </a:solidFill>
                              <a:prstDash val="solid"/>
                              <a:miter lim="800000"/>
                              <a:headEnd type="none" w="sm" len="sm"/>
                              <a:tailEnd type="none" w="sm" len="sm"/>
                            </a:ln>
                          </wps:spPr>
                          <wps:txbx>
                            <w:txbxContent>
                              <w:p w14:paraId="4C3DD967" w14:textId="77777777" w:rsidR="004F5D47" w:rsidRDefault="004F5D47">
                                <w:pPr>
                                  <w:spacing w:after="0" w:line="240" w:lineRule="auto"/>
                                  <w:textDirection w:val="btLr"/>
                                </w:pPr>
                              </w:p>
                            </w:txbxContent>
                          </wps:txbx>
                          <wps:bodyPr spcFirstLastPara="1" wrap="square" lIns="91425" tIns="91425" rIns="91425" bIns="91425" anchor="ctr" anchorCtr="0">
                            <a:noAutofit/>
                          </wps:bodyPr>
                        </wps:wsp>
                        <wps:wsp>
                          <wps:cNvPr id="447980345" name="Cuadro de texto 447980345"/>
                          <wps:cNvSpPr txBox="1"/>
                          <wps:spPr>
                            <a:xfrm>
                              <a:off x="468739" y="897910"/>
                              <a:ext cx="1282631" cy="769579"/>
                            </a:xfrm>
                            <a:prstGeom prst="rect">
                              <a:avLst/>
                            </a:prstGeom>
                            <a:noFill/>
                            <a:ln>
                              <a:noFill/>
                            </a:ln>
                          </wps:spPr>
                          <wps:txbx>
                            <w:txbxContent>
                              <w:p w14:paraId="684B9DD6" w14:textId="77777777" w:rsidR="004F5D47" w:rsidRDefault="00000000">
                                <w:pPr>
                                  <w:spacing w:after="0" w:line="215" w:lineRule="auto"/>
                                  <w:jc w:val="center"/>
                                  <w:textDirection w:val="btLr"/>
                                </w:pPr>
                                <w:r>
                                  <w:rPr>
                                    <w:rFonts w:ascii="Cambria" w:eastAsia="Cambria" w:hAnsi="Cambria" w:cs="Cambria"/>
                                    <w:b/>
                                    <w:color w:val="FFFFFF"/>
                                    <w:sz w:val="24"/>
                                  </w:rPr>
                                  <w:t>Validez de constructo</w:t>
                                </w:r>
                              </w:p>
                            </w:txbxContent>
                          </wps:txbx>
                          <wps:bodyPr spcFirstLastPara="1" wrap="square" lIns="45700" tIns="45700" rIns="45700" bIns="45700" anchor="ctr" anchorCtr="0">
                            <a:noAutofit/>
                          </wps:bodyPr>
                        </wps:wsp>
                        <wps:wsp>
                          <wps:cNvPr id="2037690197" name="Rectángulo 2037690197"/>
                          <wps:cNvSpPr/>
                          <wps:spPr>
                            <a:xfrm>
                              <a:off x="1879634" y="897910"/>
                              <a:ext cx="1282631" cy="769579"/>
                            </a:xfrm>
                            <a:prstGeom prst="rect">
                              <a:avLst/>
                            </a:prstGeom>
                            <a:solidFill>
                              <a:srgbClr val="4F81BD"/>
                            </a:solidFill>
                            <a:ln w="25400" cap="flat" cmpd="sng">
                              <a:solidFill>
                                <a:srgbClr val="FFFFFF"/>
                              </a:solidFill>
                              <a:prstDash val="solid"/>
                              <a:miter lim="800000"/>
                              <a:headEnd type="none" w="sm" len="sm"/>
                              <a:tailEnd type="none" w="sm" len="sm"/>
                            </a:ln>
                          </wps:spPr>
                          <wps:txbx>
                            <w:txbxContent>
                              <w:p w14:paraId="7274E279" w14:textId="77777777" w:rsidR="004F5D47" w:rsidRDefault="004F5D47">
                                <w:pPr>
                                  <w:spacing w:after="0" w:line="240" w:lineRule="auto"/>
                                  <w:textDirection w:val="btLr"/>
                                </w:pPr>
                              </w:p>
                            </w:txbxContent>
                          </wps:txbx>
                          <wps:bodyPr spcFirstLastPara="1" wrap="square" lIns="91425" tIns="91425" rIns="91425" bIns="91425" anchor="ctr" anchorCtr="0">
                            <a:noAutofit/>
                          </wps:bodyPr>
                        </wps:wsp>
                        <wps:wsp>
                          <wps:cNvPr id="1331837926" name="Cuadro de texto 1331837926"/>
                          <wps:cNvSpPr txBox="1"/>
                          <wps:spPr>
                            <a:xfrm>
                              <a:off x="1879634" y="897910"/>
                              <a:ext cx="1282631" cy="769579"/>
                            </a:xfrm>
                            <a:prstGeom prst="rect">
                              <a:avLst/>
                            </a:prstGeom>
                            <a:noFill/>
                            <a:ln>
                              <a:noFill/>
                            </a:ln>
                          </wps:spPr>
                          <wps:txbx>
                            <w:txbxContent>
                              <w:p w14:paraId="052182EF" w14:textId="77777777" w:rsidR="004F5D47" w:rsidRDefault="00000000">
                                <w:pPr>
                                  <w:spacing w:after="0" w:line="215" w:lineRule="auto"/>
                                  <w:jc w:val="center"/>
                                  <w:textDirection w:val="btLr"/>
                                </w:pPr>
                                <w:r>
                                  <w:rPr>
                                    <w:rFonts w:ascii="Cambria" w:eastAsia="Cambria" w:hAnsi="Cambria" w:cs="Cambria"/>
                                    <w:b/>
                                    <w:color w:val="FFFFFF"/>
                                    <w:sz w:val="24"/>
                                  </w:rPr>
                                  <w:t>Consistencia interna y robustez</w:t>
                                </w:r>
                              </w:p>
                            </w:txbxContent>
                          </wps:txbx>
                          <wps:bodyPr spcFirstLastPara="1" wrap="square" lIns="45700" tIns="45700" rIns="45700" bIns="45700" anchor="ctr" anchorCtr="0">
                            <a:noAutofit/>
                          </wps:bodyPr>
                        </wps:wsp>
                        <wps:wsp>
                          <wps:cNvPr id="1705979554" name="Rectángulo 1705979554"/>
                          <wps:cNvSpPr/>
                          <wps:spPr>
                            <a:xfrm>
                              <a:off x="3290529" y="897910"/>
                              <a:ext cx="1282631" cy="769579"/>
                            </a:xfrm>
                            <a:prstGeom prst="rect">
                              <a:avLst/>
                            </a:prstGeom>
                            <a:solidFill>
                              <a:srgbClr val="4F81BD"/>
                            </a:solidFill>
                            <a:ln w="25400" cap="flat" cmpd="sng">
                              <a:solidFill>
                                <a:srgbClr val="FFFFFF"/>
                              </a:solidFill>
                              <a:prstDash val="solid"/>
                              <a:miter lim="800000"/>
                              <a:headEnd type="none" w="sm" len="sm"/>
                              <a:tailEnd type="none" w="sm" len="sm"/>
                            </a:ln>
                          </wps:spPr>
                          <wps:txbx>
                            <w:txbxContent>
                              <w:p w14:paraId="401B6C4B" w14:textId="77777777" w:rsidR="004F5D47" w:rsidRDefault="004F5D47">
                                <w:pPr>
                                  <w:spacing w:after="0" w:line="240" w:lineRule="auto"/>
                                  <w:textDirection w:val="btLr"/>
                                </w:pPr>
                              </w:p>
                            </w:txbxContent>
                          </wps:txbx>
                          <wps:bodyPr spcFirstLastPara="1" wrap="square" lIns="91425" tIns="91425" rIns="91425" bIns="91425" anchor="ctr" anchorCtr="0">
                            <a:noAutofit/>
                          </wps:bodyPr>
                        </wps:wsp>
                        <wps:wsp>
                          <wps:cNvPr id="2072031504" name="Cuadro de texto 2072031504"/>
                          <wps:cNvSpPr txBox="1"/>
                          <wps:spPr>
                            <a:xfrm>
                              <a:off x="3290529" y="897910"/>
                              <a:ext cx="1282631" cy="769579"/>
                            </a:xfrm>
                            <a:prstGeom prst="rect">
                              <a:avLst/>
                            </a:prstGeom>
                            <a:noFill/>
                            <a:ln>
                              <a:noFill/>
                            </a:ln>
                          </wps:spPr>
                          <wps:txbx>
                            <w:txbxContent>
                              <w:p w14:paraId="0B9EEFFE" w14:textId="77777777" w:rsidR="004F5D47" w:rsidRDefault="00000000">
                                <w:pPr>
                                  <w:spacing w:after="0" w:line="215" w:lineRule="auto"/>
                                  <w:jc w:val="center"/>
                                  <w:textDirection w:val="btLr"/>
                                </w:pPr>
                                <w:r>
                                  <w:rPr>
                                    <w:rFonts w:ascii="Cambria" w:eastAsia="Cambria" w:hAnsi="Cambria" w:cs="Cambria"/>
                                    <w:color w:val="FFFFFF"/>
                                    <w:sz w:val="24"/>
                                  </w:rPr>
                                  <w:t>Reproducibilidad y validación externa</w:t>
                                </w:r>
                              </w:p>
                            </w:txbxContent>
                          </wps:txbx>
                          <wps:bodyPr spcFirstLastPara="1" wrap="square" lIns="45700" tIns="45700" rIns="45700" bIns="45700" anchor="ctr" anchorCtr="0">
                            <a:noAutofit/>
                          </wps:bodyPr>
                        </wps:wsp>
                        <wps:wsp>
                          <wps:cNvPr id="240400790" name="Rectángulo 240400790"/>
                          <wps:cNvSpPr/>
                          <wps:spPr>
                            <a:xfrm>
                              <a:off x="1879634" y="1795752"/>
                              <a:ext cx="1282631" cy="769579"/>
                            </a:xfrm>
                            <a:prstGeom prst="rect">
                              <a:avLst/>
                            </a:prstGeom>
                            <a:solidFill>
                              <a:srgbClr val="4F81BD"/>
                            </a:solidFill>
                            <a:ln w="25400" cap="flat" cmpd="sng">
                              <a:solidFill>
                                <a:srgbClr val="FFFFFF"/>
                              </a:solidFill>
                              <a:prstDash val="solid"/>
                              <a:miter lim="800000"/>
                              <a:headEnd type="none" w="sm" len="sm"/>
                              <a:tailEnd type="none" w="sm" len="sm"/>
                            </a:ln>
                          </wps:spPr>
                          <wps:txbx>
                            <w:txbxContent>
                              <w:p w14:paraId="2F843FC1" w14:textId="77777777" w:rsidR="004F5D47" w:rsidRDefault="004F5D47">
                                <w:pPr>
                                  <w:spacing w:after="0" w:line="240" w:lineRule="auto"/>
                                  <w:textDirection w:val="btLr"/>
                                </w:pPr>
                              </w:p>
                            </w:txbxContent>
                          </wps:txbx>
                          <wps:bodyPr spcFirstLastPara="1" wrap="square" lIns="91425" tIns="91425" rIns="91425" bIns="91425" anchor="ctr" anchorCtr="0">
                            <a:noAutofit/>
                          </wps:bodyPr>
                        </wps:wsp>
                        <wps:wsp>
                          <wps:cNvPr id="128157627" name="Cuadro de texto 128157627"/>
                          <wps:cNvSpPr txBox="1"/>
                          <wps:spPr>
                            <a:xfrm>
                              <a:off x="1879634" y="1795752"/>
                              <a:ext cx="1282631" cy="769579"/>
                            </a:xfrm>
                            <a:prstGeom prst="rect">
                              <a:avLst/>
                            </a:prstGeom>
                            <a:noFill/>
                            <a:ln>
                              <a:noFill/>
                            </a:ln>
                          </wps:spPr>
                          <wps:txbx>
                            <w:txbxContent>
                              <w:p w14:paraId="0219118C" w14:textId="77777777" w:rsidR="004F5D47" w:rsidRDefault="00000000">
                                <w:pPr>
                                  <w:spacing w:after="0" w:line="215" w:lineRule="auto"/>
                                  <w:jc w:val="center"/>
                                  <w:textDirection w:val="btLr"/>
                                </w:pPr>
                                <w:r>
                                  <w:rPr>
                                    <w:rFonts w:ascii="Cambria" w:eastAsia="Cambria" w:hAnsi="Cambria" w:cs="Cambria"/>
                                    <w:b/>
                                    <w:color w:val="FFFFFF"/>
                                    <w:sz w:val="24"/>
                                  </w:rPr>
                                  <w:t>Documentación y transparencia</w:t>
                                </w:r>
                              </w:p>
                            </w:txbxContent>
                          </wps:txbx>
                          <wps:bodyPr spcFirstLastPara="1" wrap="square" lIns="45700" tIns="45700" rIns="45700" bIns="45700" anchor="ctr" anchorCtr="0">
                            <a:noAutofit/>
                          </wps:bodyPr>
                        </wps:w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041900" cy="2565400"/>
                <wp:effectExtent b="0" l="0" r="0" t="0"/>
                <wp:docPr id="875461171"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5041900" cy="2565400"/>
                        </a:xfrm>
                        <a:prstGeom prst="rect"/>
                        <a:ln/>
                      </pic:spPr>
                    </pic:pic>
                  </a:graphicData>
                </a:graphic>
              </wp:inline>
            </w:drawing>
          </mc:Fallback>
        </mc:AlternateContent>
      </w:r>
    </w:p>
    <w:p w14:paraId="000000E3"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La validación de un Índice de Calidad del Aire (ICA) construido a partir de datos propios exige un riguroso enfoque metodológico, fundamentado en evidencia técnica y buenas prácticas internacionales.</w:t>
      </w:r>
    </w:p>
    <w:p w14:paraId="000000E4" w14:textId="77777777" w:rsidR="004F5D47" w:rsidRDefault="00000000">
      <w:pPr>
        <w:tabs>
          <w:tab w:val="left" w:pos="541"/>
          <w:tab w:val="left" w:pos="2062"/>
        </w:tabs>
        <w:spacing w:before="240" w:after="240"/>
        <w:jc w:val="both"/>
        <w:rPr>
          <w:rFonts w:ascii="Arial" w:eastAsia="Arial" w:hAnsi="Arial" w:cs="Arial"/>
          <w:b/>
          <w:bCs/>
        </w:rPr>
      </w:pPr>
      <w:r>
        <w:rPr>
          <w:rFonts w:ascii="Arial" w:eastAsia="Arial" w:hAnsi="Arial" w:cs="Arial"/>
          <w:b/>
          <w:bCs/>
        </w:rPr>
        <w:t>Definición conceptual y metodológica</w:t>
      </w:r>
    </w:p>
    <w:p w14:paraId="000000E5"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 xml:space="preserve">El punto de partida consiste en articular claramente el propósito del índice (por ejemplo, vigilancia en salud pública, monitoreo ambiental, alerta temprana) y describir la elección de contaminantes incluidos, las ponderaciones, la formulación matemática y los umbrales. El índice debe expresarse de manera intuitiva, tal como lo hacen modelos como el AQI (Air Quality Index) de EE. UU., que asigna categorías de color según los valores de concentraciones (EPA (Environmental Protection Agency), 2024). </w:t>
      </w:r>
    </w:p>
    <w:p w14:paraId="000000E6" w14:textId="77777777" w:rsidR="004F5D47" w:rsidRDefault="00000000">
      <w:pPr>
        <w:tabs>
          <w:tab w:val="left" w:pos="541"/>
          <w:tab w:val="left" w:pos="2062"/>
        </w:tabs>
        <w:spacing w:before="240" w:after="240"/>
        <w:jc w:val="both"/>
        <w:rPr>
          <w:rFonts w:ascii="Arial" w:eastAsia="Arial" w:hAnsi="Arial" w:cs="Arial"/>
          <w:b/>
          <w:bCs/>
        </w:rPr>
      </w:pPr>
      <w:r>
        <w:rPr>
          <w:rFonts w:ascii="Arial" w:eastAsia="Arial" w:hAnsi="Arial" w:cs="Arial"/>
          <w:b/>
          <w:bCs/>
        </w:rPr>
        <w:t>Validez de contenido</w:t>
      </w:r>
    </w:p>
    <w:p w14:paraId="000000E7"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Es esencial comparar el índice propuesto con guías internacionales y marcos de referencia. Las Directrices de Calidad del Aire de la OMS establecen niveles de referencia basados en evidencia epidemiológica para PM</w:t>
      </w:r>
      <w:r>
        <w:rPr>
          <w:rFonts w:ascii="Arial" w:eastAsia="Arial" w:hAnsi="Arial" w:cs="Arial"/>
          <w:vertAlign w:val="subscript"/>
        </w:rPr>
        <w:t xml:space="preserve">2.5 </w:t>
      </w:r>
      <w:r>
        <w:rPr>
          <w:rFonts w:ascii="Arial" w:eastAsia="Arial" w:hAnsi="Arial" w:cs="Arial"/>
        </w:rPr>
        <w:t>y PM</w:t>
      </w:r>
      <w:r>
        <w:rPr>
          <w:rFonts w:ascii="Arial" w:eastAsia="Arial" w:hAnsi="Arial" w:cs="Arial"/>
          <w:vertAlign w:val="subscript"/>
        </w:rPr>
        <w:t>10</w:t>
      </w:r>
      <w:r>
        <w:rPr>
          <w:rFonts w:ascii="Arial" w:eastAsia="Arial" w:hAnsi="Arial" w:cs="Arial"/>
        </w:rPr>
        <w:t xml:space="preserve"> (OMS, 2021). También, consultar expertos en epidemiología ambiental, salud pública o ingenieros ambientales o químicos fortalecerá la validez, al asegurar que variables clave y ponderaciones sean pertinentes.</w:t>
      </w:r>
    </w:p>
    <w:p w14:paraId="000000E8" w14:textId="77777777" w:rsidR="004F5D47" w:rsidRDefault="00000000">
      <w:pPr>
        <w:tabs>
          <w:tab w:val="left" w:pos="541"/>
          <w:tab w:val="left" w:pos="2062"/>
        </w:tabs>
        <w:spacing w:before="240" w:after="240"/>
        <w:jc w:val="both"/>
        <w:rPr>
          <w:rFonts w:ascii="Arial" w:eastAsia="Arial" w:hAnsi="Arial" w:cs="Arial"/>
          <w:b/>
          <w:bCs/>
        </w:rPr>
      </w:pPr>
      <w:r>
        <w:rPr>
          <w:rFonts w:ascii="Arial" w:eastAsia="Arial" w:hAnsi="Arial" w:cs="Arial"/>
          <w:b/>
          <w:bCs/>
        </w:rPr>
        <w:t>Validez de criterio</w:t>
      </w:r>
    </w:p>
    <w:p w14:paraId="000000E9"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Correlacionar el índice con datos de índices oficiales, como el AQI de EE. UU., permite evaluar la convergencia de resultados. La literatura muestra cómo índices alternativos, como el AQHI de Canadá, incorporan efectos aditivos de múltiples contaminantes y captan mejor el riesgo para la salud que el modelo tradicional de ‘contaminante dominante’(Cromar et al., 2020; Environmental Protection Agency (EPA), 2021; Stieb et al., 2008).</w:t>
      </w:r>
    </w:p>
    <w:p w14:paraId="000000EA" w14:textId="77777777" w:rsidR="004F5D47" w:rsidRDefault="00000000">
      <w:pPr>
        <w:tabs>
          <w:tab w:val="left" w:pos="541"/>
          <w:tab w:val="left" w:pos="2062"/>
        </w:tabs>
        <w:spacing w:before="240" w:after="240"/>
        <w:jc w:val="both"/>
        <w:rPr>
          <w:rFonts w:ascii="Arial" w:eastAsia="Arial" w:hAnsi="Arial" w:cs="Arial"/>
          <w:b/>
          <w:bCs/>
        </w:rPr>
      </w:pPr>
      <w:r>
        <w:rPr>
          <w:rFonts w:ascii="Arial" w:eastAsia="Arial" w:hAnsi="Arial" w:cs="Arial"/>
          <w:b/>
          <w:bCs/>
        </w:rPr>
        <w:t>Validez de constructo</w:t>
      </w:r>
    </w:p>
    <w:p w14:paraId="000000EB"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El ICA debe mostrar comportamientos esperados: por ejemplo, valores elevados en episodios de incendios forestales o durante inversión térmica. Este comportamiento apoya la plausibilidad del índice como un reflejo válido de la contaminación ambiental.</w:t>
      </w:r>
    </w:p>
    <w:p w14:paraId="000000EC" w14:textId="77777777" w:rsidR="004F5D47" w:rsidRDefault="00000000">
      <w:pPr>
        <w:tabs>
          <w:tab w:val="left" w:pos="541"/>
          <w:tab w:val="left" w:pos="2062"/>
        </w:tabs>
        <w:spacing w:before="240" w:after="240"/>
        <w:jc w:val="both"/>
        <w:rPr>
          <w:rFonts w:ascii="Arial" w:eastAsia="Arial" w:hAnsi="Arial" w:cs="Arial"/>
          <w:b/>
          <w:bCs/>
        </w:rPr>
      </w:pPr>
      <w:r>
        <w:rPr>
          <w:rFonts w:ascii="Arial" w:eastAsia="Arial" w:hAnsi="Arial" w:cs="Arial"/>
          <w:b/>
          <w:bCs/>
        </w:rPr>
        <w:t>Consistencia interna y robustez</w:t>
      </w:r>
    </w:p>
    <w:p w14:paraId="000000ED"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Se recomienda realizar análisis de confiabilidad como el alfa de Cronbach, para evaluar la coherencia entre contaminantes. También, llevar a cabo análisis de sensibilidad, modificando ponderaciones o excluyendo contaminantes, para entender el efecto en el índice.</w:t>
      </w:r>
    </w:p>
    <w:p w14:paraId="000000EE" w14:textId="77777777" w:rsidR="004F5D47" w:rsidRDefault="00000000">
      <w:pPr>
        <w:tabs>
          <w:tab w:val="left" w:pos="541"/>
          <w:tab w:val="left" w:pos="2062"/>
        </w:tabs>
        <w:spacing w:before="240" w:after="240"/>
        <w:jc w:val="both"/>
        <w:rPr>
          <w:rFonts w:ascii="Arial" w:eastAsia="Arial" w:hAnsi="Arial" w:cs="Arial"/>
          <w:b/>
          <w:bCs/>
        </w:rPr>
      </w:pPr>
      <w:r>
        <w:rPr>
          <w:rFonts w:ascii="Arial" w:eastAsia="Arial" w:hAnsi="Arial" w:cs="Arial"/>
          <w:b/>
          <w:bCs/>
        </w:rPr>
        <w:t>Reproducibilidad y validación externa</w:t>
      </w:r>
    </w:p>
    <w:p w14:paraId="000000EF"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Probar el índice en diferentes periodos, estaciones o ciudades ayuda a evaluar su estabilidad temporal y espacial. Por ejemplo, el protocolo F</w:t>
      </w:r>
      <w:r>
        <w:rPr>
          <w:rFonts w:ascii="Cambria Math" w:eastAsia="Cambria Math" w:hAnsi="Cambria Math" w:cs="Cambria Math"/>
        </w:rPr>
        <w:t>‑</w:t>
      </w:r>
      <w:r>
        <w:rPr>
          <w:rFonts w:ascii="Arial" w:eastAsia="Arial" w:hAnsi="Arial" w:cs="Arial"/>
        </w:rPr>
        <w:t xml:space="preserve">MQO desarrollado en el contexto de FAIRMODE en Europa ofrece una metodología estandarizada para evaluar aplicaciones de predicción de calidad del aire, incluyendo criterios de desempeño y detección de picos (Janssen &amp; Thunis, 2020; Thunis et al., 2012). </w:t>
      </w:r>
    </w:p>
    <w:p w14:paraId="000000F0" w14:textId="77777777" w:rsidR="004F5D47" w:rsidRDefault="00000000">
      <w:pPr>
        <w:tabs>
          <w:tab w:val="left" w:pos="541"/>
          <w:tab w:val="left" w:pos="2062"/>
        </w:tabs>
        <w:spacing w:before="240" w:after="240"/>
        <w:jc w:val="both"/>
        <w:rPr>
          <w:rFonts w:ascii="Arial" w:eastAsia="Arial" w:hAnsi="Arial" w:cs="Arial"/>
          <w:b/>
          <w:bCs/>
        </w:rPr>
      </w:pPr>
      <w:r>
        <w:rPr>
          <w:rFonts w:ascii="Arial" w:eastAsia="Arial" w:hAnsi="Arial" w:cs="Arial"/>
          <w:b/>
          <w:bCs/>
        </w:rPr>
        <w:t>Documentación y transparencia</w:t>
      </w:r>
    </w:p>
    <w:p w14:paraId="000000F1"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Debe elaborarse un documento metodológico detallado que incluya fuentes de datos, transformaciones, supuestos, limitaciones, criterios estadísticos y fórmula del índice. Esta transparencia facilita la reproducibilidad y permite que otros investigadores repliquen o validen el índice en contextos distintos.(EPA (Environmental Protection Agency), 2024)</w:t>
      </w:r>
    </w:p>
    <w:p w14:paraId="000000F2" w14:textId="77777777" w:rsidR="004F5D47" w:rsidRDefault="00000000">
      <w:pPr>
        <w:tabs>
          <w:tab w:val="left" w:pos="541"/>
          <w:tab w:val="left" w:pos="2062"/>
        </w:tabs>
        <w:spacing w:before="240" w:after="240"/>
        <w:jc w:val="both"/>
        <w:rPr>
          <w:rFonts w:ascii="Arial" w:eastAsia="Arial" w:hAnsi="Arial" w:cs="Arial"/>
          <w:b/>
          <w:bCs/>
        </w:rPr>
      </w:pPr>
      <w:r>
        <w:rPr>
          <w:rFonts w:ascii="Arial" w:eastAsia="Arial" w:hAnsi="Arial" w:cs="Arial"/>
          <w:b/>
          <w:bCs/>
        </w:rPr>
        <w:t>Socialización y participación en la actualización del IBOCA por parte de la academia</w:t>
      </w:r>
    </w:p>
    <w:p w14:paraId="000000F3"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 xml:space="preserve">Durante todos los procesos de validación del IBOCA en todas sus versiones, se ha contado con el apoyo de diferentes universidades y expertos en el campo de la calidad del aire y salud para contribuir en la evaluación de los ajustes y avances propuestos. Dentro de las instituciones participantes se pueden señalar a: la Universidad Industrial de Santander, la Universidad de los Andes, la Universidad Nacional de Colombia, entre otras. Lo anterior, es una evidencia de la socialización de lo consignado en documentos como el presente, así como de la participación de la academia en la gestación de la política pública. </w:t>
      </w:r>
    </w:p>
    <w:p w14:paraId="000000F4" w14:textId="77777777" w:rsidR="004F5D47" w:rsidRDefault="004F5D47">
      <w:pPr>
        <w:tabs>
          <w:tab w:val="left" w:pos="541"/>
          <w:tab w:val="left" w:pos="2062"/>
        </w:tabs>
        <w:spacing w:before="240" w:after="240"/>
        <w:jc w:val="both"/>
        <w:rPr>
          <w:rFonts w:ascii="Arial" w:eastAsia="Arial" w:hAnsi="Arial" w:cs="Arial"/>
        </w:rPr>
      </w:pPr>
    </w:p>
    <w:p w14:paraId="000000F5" w14:textId="77777777" w:rsidR="004F5D47" w:rsidRDefault="00000000">
      <w:pPr>
        <w:tabs>
          <w:tab w:val="left" w:pos="541"/>
          <w:tab w:val="left" w:pos="2062"/>
        </w:tabs>
        <w:spacing w:before="240" w:after="240"/>
        <w:jc w:val="both"/>
        <w:rPr>
          <w:rFonts w:ascii="Arial" w:eastAsia="Arial" w:hAnsi="Arial" w:cs="Arial"/>
          <w:i/>
          <w:iCs/>
        </w:rPr>
      </w:pPr>
      <w:r>
        <w:rPr>
          <w:rFonts w:ascii="Arial" w:eastAsia="Arial" w:hAnsi="Arial" w:cs="Arial"/>
          <w:i/>
          <w:iCs/>
        </w:rPr>
        <w:t>e) Revisión de bioindicadores de calidad del aire para evaluar la articulación del riesgo de deterioro ecológico por contaminación atmosférica en el IBOCA.</w:t>
      </w:r>
    </w:p>
    <w:p w14:paraId="000000F6" w14:textId="77777777" w:rsidR="004F5D47" w:rsidRDefault="00000000">
      <w:pPr>
        <w:tabs>
          <w:tab w:val="left" w:pos="541"/>
          <w:tab w:val="left" w:pos="2062"/>
        </w:tabs>
        <w:spacing w:before="240" w:after="240"/>
        <w:jc w:val="both"/>
        <w:rPr>
          <w:rFonts w:ascii="Arial" w:eastAsia="Arial" w:hAnsi="Arial" w:cs="Arial"/>
        </w:rPr>
      </w:pPr>
      <w:bookmarkStart w:id="7" w:name="_heading=h.6yyswihuwlet" w:colFirst="0" w:colLast="0"/>
      <w:bookmarkEnd w:id="7"/>
      <w:r>
        <w:rPr>
          <w:rFonts w:ascii="Arial" w:eastAsia="Arial" w:hAnsi="Arial" w:cs="Arial"/>
        </w:rPr>
        <w:t xml:space="preserve">Los bioindicadores son organismos o matrices biológicas que integran exposición atmosférica en el tiempo y expresan estado o efecto ecológico: presencia/ausencia, diversidad, bioacumulación de contaminantes (metales, hidrocarburos aromáticos policíclicos HAP, entre otros), respuesta fisiológica (daño por ozono, estrés oxidativo), o servicios ecosistémicos (polinización). En aire, los más robustos y estandarizados son: líquenes, musgos (activos “moss-bag” y pasivos nativos), plantas superiores (hojas, cortezas, anillos), abejas y subproductos, además de soportes bióticos pasivos como telarañas. Revisiones recientes y programas internacionales (p.ej., ICP Vegetation para encuesta de musgos) sustentan su uso para metales y otros (Takano et al., 2024). En el Anexo 3 se incluye una revisión rápida de los posibles bioindicadores a usar en conjunto con el IBOCA. </w:t>
      </w:r>
    </w:p>
    <w:p w14:paraId="000000F7" w14:textId="77777777" w:rsidR="004F5D47" w:rsidRDefault="00000000">
      <w:pPr>
        <w:tabs>
          <w:tab w:val="left" w:pos="541"/>
          <w:tab w:val="left" w:pos="2062"/>
        </w:tabs>
        <w:spacing w:before="240" w:after="240" w:line="276" w:lineRule="auto"/>
        <w:jc w:val="both"/>
        <w:rPr>
          <w:rFonts w:ascii="Arial" w:eastAsia="Arial" w:hAnsi="Arial" w:cs="Arial"/>
        </w:rPr>
      </w:pPr>
      <w:r>
        <w:rPr>
          <w:rFonts w:ascii="Arial" w:eastAsia="Arial" w:hAnsi="Arial" w:cs="Arial"/>
        </w:rPr>
        <w:t xml:space="preserve">Para el año 2026 se tiene proyectada una articulación en conjunto con la SDS, el Jardín Botánico de Bogotá y la SDA con el fin de proponer el uso de líquenes epifitos como bioindicadores de calidad del aire para usar en conjunto con el IBOCA para la ciudad en un mediano (5 a 6 años) y largo plazo (10 años). A la fecha, escasas ciudades hacen uso de los bioindicadores para nutrir sus índices de calidad del aire. </w:t>
      </w:r>
    </w:p>
    <w:p w14:paraId="000000F8"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f) Consolidación de la base de datos del contaminante no criterio Black Carbon (BC).</w:t>
      </w:r>
    </w:p>
    <w:p w14:paraId="000000F9"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Durante 2025, se realizó la consolidación de base de datos del contaminante no criterio BC</w:t>
      </w:r>
      <w:r>
        <w:rPr>
          <w:rFonts w:ascii="Arial" w:eastAsia="Arial" w:hAnsi="Arial" w:cs="Arial"/>
          <w:color w:val="EE0000"/>
        </w:rPr>
        <w:t xml:space="preserve"> </w:t>
      </w:r>
      <w:r>
        <w:rPr>
          <w:rFonts w:ascii="Arial" w:eastAsia="Arial" w:hAnsi="Arial" w:cs="Arial"/>
        </w:rPr>
        <w:t>a partir de la operación de los equipos de black carbon en 7 de las estaciones de la Red de Monitoreo de Calidad del Aire de Bogotá (RMCAB). Esta acción contribuye a la etapa de “Gestión y/o monitoreo para la consolidación de base de datos espacio-temporales” de la metodología para la evaluación y ajuste periódico del IBOCA, específicamente para los “contaminantes no criterio” dentro de las variables de calidad del aire.</w:t>
      </w:r>
    </w:p>
    <w:p w14:paraId="000000FA"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El monitoreo de las concentraciones ambientales de BC ocasionadas en su mayoría por las emisiones de fuentes móviles y fijas aporta al entendimiento de las dinámicas atmosféricas de la ciudad, identificando los impactos regionales que provienen de la quema de biomasa. Por otra parte, el BC</w:t>
      </w:r>
      <w:r>
        <w:rPr>
          <w:rFonts w:ascii="Arial" w:eastAsia="Arial" w:hAnsi="Arial" w:cs="Arial"/>
          <w:color w:val="EE0000"/>
        </w:rPr>
        <w:t xml:space="preserve"> </w:t>
      </w:r>
      <w:r>
        <w:rPr>
          <w:rFonts w:ascii="Arial" w:eastAsia="Arial" w:hAnsi="Arial" w:cs="Arial"/>
        </w:rPr>
        <w:t>funciona como indicador de seguimiento al Plan Aire, el cual a través del tiempo ha presentado una reducción de la concentración de eBC asociado con los cambios en las tecnologías de los vehículos usados para el transporte público de la ciudad.</w:t>
      </w:r>
    </w:p>
    <w:p w14:paraId="000000FB"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 xml:space="preserve">Durante 2024 se desarrolló la propuesta de evaluación de impacto en salud (EIS) a partir de las mediciones de los equipos de BC de la RMCAB mediante el software </w:t>
      </w:r>
      <w:r>
        <w:rPr>
          <w:rFonts w:ascii="Arial" w:eastAsia="Arial" w:hAnsi="Arial" w:cs="Arial"/>
          <w:i/>
          <w:iCs/>
        </w:rPr>
        <w:t>AirQ+</w:t>
      </w:r>
      <w:r>
        <w:rPr>
          <w:rFonts w:ascii="Arial" w:eastAsia="Arial" w:hAnsi="Arial" w:cs="Arial"/>
        </w:rPr>
        <w:t xml:space="preserve">   como resultado preliminar se obtuvo que las concentraciones de BC han tenido una tendencia hacia la disminución, con un período de meseta en los años 2020 a 2021 en donde no hubo disminución sino un ligero aumento para posterior continuar disminuyendo. A su vez, con base en estas concentraciones de BC, también es posible señalar que a medida que van disminuyendo las concentraciones de BC en Bogotá, disminuye también la carga de enfermedad secundaria a este contaminante. Se puede afirmar que al disminuir las concentraciones de BC de 2018 -2020 al periodo 2021- 2022 en 1,5 veces, se logra proporcionalmente una disminución de la carga de enfermedad calculada en la proporción atribuible estimada del 33,88 % al 22,84 % o también el número estimado de casos atribuibles a contaminación por BC en Bogotá disminuyó de 9.843 en el periodo 2018-2020 a 7.124 en el periodo 2021-2022, una disminución de 1,38 veces. </w:t>
      </w:r>
    </w:p>
    <w:p w14:paraId="000000FC"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 xml:space="preserve">Una limitación importante que tiene EIS tiene que ver con la medición de las concentraciones de BC, la cual no se realiza en el total de las 20 estaciones para medición general de calidad del aire del distrito (RMCAB) si no se realiza en 7 estaciones de la ciudad, concentradas principalmente en el centro, en el oriente y occidente, hecho que genera que los datos no son completamente extrapolables a toda la capital. </w:t>
      </w:r>
    </w:p>
    <w:p w14:paraId="000000FD" w14:textId="77777777" w:rsidR="004F5D47" w:rsidRDefault="00000000">
      <w:pPr>
        <w:tabs>
          <w:tab w:val="left" w:pos="541"/>
          <w:tab w:val="left" w:pos="2062"/>
        </w:tabs>
        <w:spacing w:before="240" w:after="240"/>
        <w:jc w:val="both"/>
        <w:rPr>
          <w:rFonts w:ascii="Arial" w:eastAsia="Arial" w:hAnsi="Arial" w:cs="Arial"/>
        </w:rPr>
      </w:pPr>
      <w:r>
        <w:rPr>
          <w:rFonts w:ascii="Arial" w:eastAsia="Arial" w:hAnsi="Arial" w:cs="Arial"/>
        </w:rPr>
        <w:t xml:space="preserve">El experto de la OMS Pier Mudu realizó el siguiente comentario a la EIS para BC: </w:t>
      </w:r>
    </w:p>
    <w:p w14:paraId="000000FE" w14:textId="77777777" w:rsidR="004F5D47" w:rsidRDefault="00000000">
      <w:pPr>
        <w:tabs>
          <w:tab w:val="left" w:pos="541"/>
          <w:tab w:val="left" w:pos="2062"/>
        </w:tabs>
        <w:spacing w:before="240" w:after="240"/>
        <w:jc w:val="both"/>
        <w:rPr>
          <w:rFonts w:ascii="Arial" w:eastAsia="Arial" w:hAnsi="Arial" w:cs="Arial"/>
          <w:i/>
          <w:iCs/>
        </w:rPr>
      </w:pPr>
      <w:r>
        <w:rPr>
          <w:rFonts w:ascii="Arial" w:eastAsia="Arial" w:hAnsi="Arial" w:cs="Arial"/>
        </w:rPr>
        <w:t>“</w:t>
      </w:r>
      <w:r>
        <w:rPr>
          <w:rFonts w:ascii="Arial" w:eastAsia="Arial" w:hAnsi="Arial" w:cs="Arial"/>
          <w:i/>
          <w:iCs/>
        </w:rPr>
        <w:t>Hay que tener en cuenta que la variación espacial del carbono negro es mayor que la de las PM</w:t>
      </w:r>
      <w:r>
        <w:rPr>
          <w:rFonts w:ascii="Arial" w:eastAsia="Arial" w:hAnsi="Arial" w:cs="Arial"/>
          <w:i/>
          <w:iCs/>
          <w:vertAlign w:val="subscript"/>
        </w:rPr>
        <w:t>2,5</w:t>
      </w:r>
      <w:r>
        <w:rPr>
          <w:rFonts w:ascii="Arial" w:eastAsia="Arial" w:hAnsi="Arial" w:cs="Arial"/>
          <w:i/>
          <w:iCs/>
        </w:rPr>
        <w:t>. El carbono negro es un buen indicador de las partículas nocivas procedentes del tráfico. Considere que las PM</w:t>
      </w:r>
      <w:r>
        <w:rPr>
          <w:rFonts w:ascii="Arial" w:eastAsia="Arial" w:hAnsi="Arial" w:cs="Arial"/>
          <w:i/>
          <w:iCs/>
          <w:vertAlign w:val="subscript"/>
        </w:rPr>
        <w:t>2,5</w:t>
      </w:r>
      <w:r>
        <w:rPr>
          <w:rFonts w:ascii="Arial" w:eastAsia="Arial" w:hAnsi="Arial" w:cs="Arial"/>
          <w:i/>
          <w:iCs/>
        </w:rPr>
        <w:t xml:space="preserve"> deben seguir utilizándose como métrica principal para cuantificar las repercusiones de la contaminación atmosférica en la salud. El carbono negro es una útil métrica adicional de la calidad del aire para evaluar los riesgos para la salud de las PM de combustión primaria procedentes del tráfico, incluidas las partículas orgánicas, que no se tienen plenamente en cuenta con los niveles de masa de PM</w:t>
      </w:r>
      <w:r>
        <w:rPr>
          <w:rFonts w:ascii="Arial" w:eastAsia="Arial" w:hAnsi="Arial" w:cs="Arial"/>
          <w:i/>
          <w:iCs/>
          <w:vertAlign w:val="subscript"/>
        </w:rPr>
        <w:t>2,5</w:t>
      </w:r>
      <w:r>
        <w:rPr>
          <w:rFonts w:ascii="Arial" w:eastAsia="Arial" w:hAnsi="Arial" w:cs="Arial"/>
          <w:i/>
          <w:iCs/>
        </w:rPr>
        <w:t>. Así pues, hay que utilizar el carbono negro como indicador informativo adicional para evaluar las medidas locales destinadas a reducir la exposición de la población a las PM de combustión procedentes, por ejemplo, del tráfico”.</w:t>
      </w:r>
    </w:p>
    <w:p w14:paraId="000000FF" w14:textId="77777777" w:rsidR="004F5D47" w:rsidRDefault="00000000">
      <w:pPr>
        <w:tabs>
          <w:tab w:val="left" w:pos="541"/>
          <w:tab w:val="left" w:pos="2062"/>
        </w:tabs>
        <w:spacing w:before="240" w:after="240"/>
        <w:jc w:val="both"/>
        <w:rPr>
          <w:rFonts w:ascii="Arial" w:eastAsia="Arial" w:hAnsi="Arial" w:cs="Arial"/>
          <w:color w:val="EE0000"/>
        </w:rPr>
      </w:pPr>
      <w:r>
        <w:rPr>
          <w:rFonts w:ascii="Arial" w:eastAsia="Arial" w:hAnsi="Arial" w:cs="Arial"/>
          <w:color w:val="EE0000"/>
        </w:rPr>
        <w:t xml:space="preserve"> </w:t>
      </w:r>
    </w:p>
    <w:p w14:paraId="00000100" w14:textId="77777777" w:rsidR="004F5D47" w:rsidRDefault="004F5D47">
      <w:pPr>
        <w:tabs>
          <w:tab w:val="left" w:pos="541"/>
          <w:tab w:val="left" w:pos="2062"/>
        </w:tabs>
        <w:spacing w:before="240" w:after="240"/>
        <w:jc w:val="both"/>
        <w:rPr>
          <w:rFonts w:ascii="Arial" w:eastAsia="Arial" w:hAnsi="Arial" w:cs="Arial"/>
          <w:color w:val="EE0000"/>
        </w:rPr>
      </w:pPr>
    </w:p>
    <w:p w14:paraId="00000101" w14:textId="77777777" w:rsidR="004F5D47" w:rsidRDefault="00000000">
      <w:pPr>
        <w:pStyle w:val="Ttulo1"/>
        <w:keepNext w:val="0"/>
        <w:keepLines w:val="0"/>
        <w:widowControl w:val="0"/>
        <w:tabs>
          <w:tab w:val="left" w:pos="541"/>
          <w:tab w:val="left" w:pos="2062"/>
        </w:tabs>
        <w:spacing w:before="0" w:after="0" w:line="240" w:lineRule="auto"/>
        <w:ind w:right="496"/>
        <w:jc w:val="both"/>
      </w:pPr>
      <w:r>
        <w:t>4. Estrategia pedagógica y de</w:t>
      </w:r>
      <w:sdt>
        <w:sdtPr>
          <w:tag w:val="goog_rdk_7"/>
          <w:id w:val="1024481918"/>
        </w:sdtPr>
        <w:sdtContent>
          <w:commentRangeStart w:id="8"/>
        </w:sdtContent>
      </w:sdt>
      <w:r>
        <w:t xml:space="preserve"> comunicación del Índice Bogotano de Calidad del Aire y Riesgo en Salud —IBOCA—</w:t>
      </w:r>
      <w:commentRangeEnd w:id="8"/>
      <w:r>
        <w:rPr>
          <w:rStyle w:val="Refdecomentario"/>
          <w:sz w:val="22"/>
          <w:szCs w:val="22"/>
        </w:rPr>
        <w:commentReference w:id="8"/>
      </w:r>
    </w:p>
    <w:p w14:paraId="00000102" w14:textId="77777777" w:rsidR="004F5D47" w:rsidRDefault="004F5D47">
      <w:pPr>
        <w:rPr>
          <w:rFonts w:ascii="Arial" w:eastAsia="Arial" w:hAnsi="Arial" w:cs="Arial"/>
        </w:rPr>
      </w:pPr>
    </w:p>
    <w:p w14:paraId="00000103" w14:textId="77777777" w:rsidR="004F5D47" w:rsidRDefault="00000000">
      <w:pPr>
        <w:jc w:val="both"/>
        <w:rPr>
          <w:rFonts w:ascii="Arial" w:eastAsia="Arial" w:hAnsi="Arial" w:cs="Arial"/>
        </w:rPr>
      </w:pPr>
      <w:r>
        <w:rPr>
          <w:rFonts w:ascii="Arial" w:eastAsia="Arial" w:hAnsi="Arial" w:cs="Arial"/>
        </w:rPr>
        <w:t>Durante el año 2025 e inicios de 2026 se implementó la Estrategia Pedagógica y Comunicacional del IBOCA, en el marco de la Estrategia de Gobernanza del aire del Plan Aire 2030, adoptado mediante al Decreto…</w:t>
      </w:r>
    </w:p>
    <w:p w14:paraId="00000104" w14:textId="77777777" w:rsidR="004F5D47" w:rsidRDefault="00000000">
      <w:pPr>
        <w:jc w:val="both"/>
        <w:rPr>
          <w:rFonts w:ascii="Arial" w:eastAsia="Arial" w:hAnsi="Arial" w:cs="Arial"/>
        </w:rPr>
      </w:pPr>
      <w:r>
        <w:rPr>
          <w:rFonts w:ascii="Arial" w:eastAsia="Arial" w:hAnsi="Arial" w:cs="Arial"/>
        </w:rPr>
        <w:t>… en el marco del proyecto de cooperación internacional con la Alianza de Ciudades Saludables (Partnership for Healthy Cities), titulado "Gobernanza del aire por medio de una estrategia comunicativa y pedagógica para generar apropiación social del índice Bogotano de Calidad del Aire y Riesgo en salud IBOCA en Bogotá". Para su desarrollo se adelantaron tres líneas de trabajo: la primera relacionada con la implementación de estrategia pedagógica y comunicacional para incentivar el acceso e interpretación de los datos de calidad del aire a través del IBOCA, buscando prevenir y mitigar la exposición por parte de la ciudadanía, la segunda relacionada con la actualización del sitio web y la aplicación IBOCA y la tercera enfocada a generar un análisis de carga de enfermedad por contaminación del aire. A continuación se describen los principales avances.</w:t>
      </w:r>
    </w:p>
    <w:p w14:paraId="00000105" w14:textId="77777777" w:rsidR="004F5D47" w:rsidRDefault="00000000">
      <w:pPr>
        <w:jc w:val="both"/>
        <w:rPr>
          <w:rFonts w:ascii="Arial" w:eastAsia="Arial" w:hAnsi="Arial" w:cs="Arial"/>
        </w:rPr>
      </w:pPr>
      <w:r>
        <w:rPr>
          <w:rFonts w:ascii="Arial" w:eastAsia="Arial" w:hAnsi="Arial" w:cs="Arial"/>
        </w:rPr>
        <w:t>4.1 Implementación de la Estrategia Pedagógica y Comunicacional del IBOCA</w:t>
      </w:r>
    </w:p>
    <w:p w14:paraId="00000106" w14:textId="77777777" w:rsidR="004F5D47" w:rsidRDefault="00000000">
      <w:pPr>
        <w:numPr>
          <w:ilvl w:val="0"/>
          <w:numId w:val="9"/>
        </w:numPr>
        <w:spacing w:before="240" w:after="0"/>
        <w:jc w:val="both"/>
        <w:rPr>
          <w:rFonts w:ascii="Arial" w:eastAsia="Arial" w:hAnsi="Arial" w:cs="Arial"/>
          <w:shd w:val="clear" w:color="auto" w:fill="FF9900"/>
        </w:rPr>
      </w:pPr>
      <w:r>
        <w:rPr>
          <w:rFonts w:ascii="Arial" w:eastAsia="Arial" w:hAnsi="Arial" w:cs="Arial"/>
          <w:shd w:val="clear" w:color="auto" w:fill="FF9900"/>
        </w:rPr>
        <w:t>Creación de narrativa para piezas e infografías</w:t>
      </w:r>
    </w:p>
    <w:p w14:paraId="00000107" w14:textId="77777777" w:rsidR="004F5D47" w:rsidRDefault="00000000">
      <w:pPr>
        <w:numPr>
          <w:ilvl w:val="0"/>
          <w:numId w:val="9"/>
        </w:numPr>
        <w:spacing w:after="0"/>
        <w:jc w:val="both"/>
        <w:rPr>
          <w:rFonts w:ascii="Arial" w:eastAsia="Arial" w:hAnsi="Arial" w:cs="Arial"/>
          <w:shd w:val="clear" w:color="auto" w:fill="FF9900"/>
        </w:rPr>
      </w:pPr>
      <w:r>
        <w:rPr>
          <w:rFonts w:ascii="Arial" w:eastAsia="Arial" w:hAnsi="Arial" w:cs="Arial"/>
          <w:shd w:val="clear" w:color="auto" w:fill="FF9900"/>
        </w:rPr>
        <w:t>Elaboración de parrilla de contenidos relacionada con calidad del aire y salud y el uso del IBOCA.</w:t>
      </w:r>
    </w:p>
    <w:p w14:paraId="00000108" w14:textId="77777777" w:rsidR="004F5D47" w:rsidRDefault="00000000">
      <w:pPr>
        <w:numPr>
          <w:ilvl w:val="0"/>
          <w:numId w:val="9"/>
        </w:numPr>
        <w:spacing w:after="0"/>
        <w:jc w:val="both"/>
        <w:rPr>
          <w:rFonts w:ascii="Arial" w:eastAsia="Arial" w:hAnsi="Arial" w:cs="Arial"/>
          <w:shd w:val="clear" w:color="auto" w:fill="FF9900"/>
        </w:rPr>
      </w:pPr>
      <w:r>
        <w:rPr>
          <w:rFonts w:ascii="Arial" w:eastAsia="Arial" w:hAnsi="Arial" w:cs="Arial"/>
          <w:shd w:val="clear" w:color="auto" w:fill="FF9900"/>
        </w:rPr>
        <w:t xml:space="preserve">Definición y organización logística para el desarrollo de las actividades de alto impacto, que incluyen talleres inmersivos con la comunidad y colegios. </w:t>
      </w:r>
    </w:p>
    <w:p w14:paraId="00000109" w14:textId="77777777" w:rsidR="004F5D47" w:rsidRDefault="00000000">
      <w:pPr>
        <w:numPr>
          <w:ilvl w:val="0"/>
          <w:numId w:val="9"/>
        </w:numPr>
        <w:spacing w:after="240"/>
        <w:jc w:val="both"/>
        <w:rPr>
          <w:rFonts w:ascii="Arial" w:eastAsia="Arial" w:hAnsi="Arial" w:cs="Arial"/>
          <w:shd w:val="clear" w:color="auto" w:fill="FF9900"/>
        </w:rPr>
      </w:pPr>
      <w:r>
        <w:rPr>
          <w:rFonts w:ascii="Arial" w:eastAsia="Arial" w:hAnsi="Arial" w:cs="Arial"/>
          <w:shd w:val="clear" w:color="auto" w:fill="FF9900"/>
        </w:rPr>
        <w:t xml:space="preserve">Ejecución de una jornada académica con profesionales de salud fecha XXXXXXXX. </w:t>
      </w:r>
    </w:p>
    <w:p w14:paraId="0000010A" w14:textId="77777777" w:rsidR="004F5D47" w:rsidRDefault="00000000">
      <w:pPr>
        <w:spacing w:before="240" w:after="240"/>
        <w:jc w:val="both"/>
        <w:rPr>
          <w:rFonts w:ascii="Arial" w:eastAsia="Arial" w:hAnsi="Arial" w:cs="Arial"/>
          <w:shd w:val="clear" w:color="auto" w:fill="FF9900"/>
        </w:rPr>
      </w:pPr>
      <w:r>
        <w:rPr>
          <w:rFonts w:ascii="Arial" w:eastAsia="Arial" w:hAnsi="Arial" w:cs="Arial"/>
          <w:shd w:val="clear" w:color="auto" w:fill="FF9900"/>
        </w:rPr>
        <w:t xml:space="preserve">      4.2  Actualización del sitio web y la aplicación IBOCA</w:t>
      </w:r>
    </w:p>
    <w:p w14:paraId="0000010B" w14:textId="77777777" w:rsidR="004F5D47" w:rsidRDefault="00000000">
      <w:pPr>
        <w:numPr>
          <w:ilvl w:val="0"/>
          <w:numId w:val="12"/>
        </w:numPr>
        <w:spacing w:after="0"/>
        <w:jc w:val="both"/>
        <w:rPr>
          <w:rFonts w:ascii="Arial" w:eastAsia="Arial" w:hAnsi="Arial" w:cs="Arial"/>
          <w:shd w:val="clear" w:color="auto" w:fill="FF9900"/>
        </w:rPr>
      </w:pPr>
      <w:r>
        <w:rPr>
          <w:rFonts w:ascii="Arial" w:eastAsia="Arial" w:hAnsi="Arial" w:cs="Arial"/>
          <w:sz w:val="14"/>
          <w:szCs w:val="14"/>
          <w:shd w:val="clear" w:color="auto" w:fill="FF9900"/>
        </w:rPr>
        <w:t xml:space="preserve"> </w:t>
      </w:r>
      <w:r>
        <w:rPr>
          <w:rFonts w:ascii="Arial" w:eastAsia="Arial" w:hAnsi="Arial" w:cs="Arial"/>
          <w:shd w:val="clear" w:color="auto" w:fill="FF9900"/>
        </w:rPr>
        <w:t>Actualización del sitio web del IBOCA</w:t>
      </w:r>
    </w:p>
    <w:p w14:paraId="0000010C" w14:textId="77777777" w:rsidR="004F5D47" w:rsidRDefault="00000000">
      <w:pPr>
        <w:numPr>
          <w:ilvl w:val="0"/>
          <w:numId w:val="12"/>
        </w:numPr>
        <w:spacing w:after="0"/>
        <w:jc w:val="both"/>
        <w:rPr>
          <w:rFonts w:ascii="Arial" w:eastAsia="Arial" w:hAnsi="Arial" w:cs="Arial"/>
          <w:shd w:val="clear" w:color="auto" w:fill="FF9900"/>
        </w:rPr>
      </w:pPr>
      <w:r>
        <w:rPr>
          <w:rFonts w:ascii="Arial" w:eastAsia="Arial" w:hAnsi="Arial" w:cs="Arial"/>
          <w:shd w:val="clear" w:color="auto" w:fill="FF9900"/>
        </w:rPr>
        <w:t>Inclusión de alertas push para la ciudadanía</w:t>
      </w:r>
    </w:p>
    <w:p w14:paraId="0000010D" w14:textId="77777777" w:rsidR="004F5D47" w:rsidRDefault="00000000">
      <w:pPr>
        <w:numPr>
          <w:ilvl w:val="0"/>
          <w:numId w:val="12"/>
        </w:numPr>
        <w:spacing w:after="0"/>
        <w:jc w:val="both"/>
        <w:rPr>
          <w:rFonts w:ascii="Arial" w:eastAsia="Arial" w:hAnsi="Arial" w:cs="Arial"/>
          <w:shd w:val="clear" w:color="auto" w:fill="FF9900"/>
        </w:rPr>
      </w:pPr>
      <w:r>
        <w:rPr>
          <w:rFonts w:ascii="Arial" w:eastAsia="Arial" w:hAnsi="Arial" w:cs="Arial"/>
          <w:sz w:val="14"/>
          <w:szCs w:val="14"/>
          <w:shd w:val="clear" w:color="auto" w:fill="FF9900"/>
        </w:rPr>
        <w:t xml:space="preserve"> </w:t>
      </w:r>
      <w:r>
        <w:rPr>
          <w:rFonts w:ascii="Arial" w:eastAsia="Arial" w:hAnsi="Arial" w:cs="Arial"/>
          <w:shd w:val="clear" w:color="auto" w:fill="FF9900"/>
        </w:rPr>
        <w:t>Ajuste en el método de cargue de la información al sitio web</w:t>
      </w:r>
    </w:p>
    <w:p w14:paraId="0000010E" w14:textId="77777777" w:rsidR="004F5D47" w:rsidRDefault="00000000">
      <w:pPr>
        <w:spacing w:before="240" w:after="0"/>
        <w:ind w:left="360"/>
        <w:jc w:val="both"/>
        <w:rPr>
          <w:rFonts w:ascii="Arial" w:eastAsia="Arial" w:hAnsi="Arial" w:cs="Arial"/>
          <w:shd w:val="clear" w:color="auto" w:fill="FF9900"/>
        </w:rPr>
      </w:pPr>
      <w:r>
        <w:rPr>
          <w:rFonts w:ascii="Arial" w:eastAsia="Arial" w:hAnsi="Arial" w:cs="Arial"/>
          <w:shd w:val="clear" w:color="auto" w:fill="FF9900"/>
        </w:rPr>
        <w:t>4.3 Análisis de impacto en salud</w:t>
      </w:r>
    </w:p>
    <w:p w14:paraId="0000010F" w14:textId="77777777" w:rsidR="004F5D47" w:rsidRDefault="00000000">
      <w:pPr>
        <w:spacing w:after="240"/>
        <w:ind w:left="1080" w:hanging="360"/>
        <w:jc w:val="both"/>
        <w:rPr>
          <w:rFonts w:ascii="Arial" w:eastAsia="Arial" w:hAnsi="Arial" w:cs="Arial"/>
          <w:shd w:val="clear" w:color="auto" w:fill="FF9900"/>
        </w:rPr>
      </w:pPr>
      <w:r>
        <w:rPr>
          <w:rFonts w:ascii="Arial" w:eastAsia="Arial" w:hAnsi="Arial" w:cs="Arial"/>
          <w:shd w:val="clear" w:color="auto" w:fill="FF9900"/>
        </w:rPr>
        <w:t>●</w:t>
      </w:r>
      <w:r>
        <w:rPr>
          <w:rFonts w:ascii="Arial" w:eastAsia="Arial" w:hAnsi="Arial" w:cs="Arial"/>
          <w:sz w:val="14"/>
          <w:szCs w:val="14"/>
          <w:shd w:val="clear" w:color="auto" w:fill="FF9900"/>
        </w:rPr>
        <w:t xml:space="preserve">       </w:t>
      </w:r>
      <w:r>
        <w:rPr>
          <w:rFonts w:ascii="Arial" w:eastAsia="Arial" w:hAnsi="Arial" w:cs="Arial"/>
          <w:shd w:val="clear" w:color="auto" w:fill="FF9900"/>
        </w:rPr>
        <w:t xml:space="preserve">Elaboración del taller de estimaciones de morbilidad y mortalidad atribuible a la contaminación del aire, usando la herramienta </w:t>
      </w:r>
      <w:r>
        <w:rPr>
          <w:rFonts w:ascii="Arial" w:eastAsia="Arial" w:hAnsi="Arial" w:cs="Arial"/>
          <w:i/>
          <w:iCs/>
          <w:shd w:val="clear" w:color="auto" w:fill="FF9900"/>
        </w:rPr>
        <w:t>AirQ+</w:t>
      </w:r>
      <w:r>
        <w:rPr>
          <w:rFonts w:ascii="Arial" w:eastAsia="Arial" w:hAnsi="Arial" w:cs="Arial"/>
          <w:shd w:val="clear" w:color="auto" w:fill="FF9900"/>
        </w:rPr>
        <w:t xml:space="preserve"> con el acompañamiento de OPS-OMS-</w:t>
      </w:r>
      <w:r>
        <w:rPr>
          <w:rFonts w:ascii="Arial" w:eastAsia="Arial" w:hAnsi="Arial" w:cs="Arial"/>
          <w:i/>
          <w:iCs/>
          <w:shd w:val="clear" w:color="auto" w:fill="FF9900"/>
        </w:rPr>
        <w:t xml:space="preserve">Vital Strategies. </w:t>
      </w:r>
    </w:p>
    <w:p w14:paraId="00000110" w14:textId="77777777" w:rsidR="004F5D47" w:rsidRDefault="004F5D47">
      <w:pPr>
        <w:spacing w:after="0" w:line="276" w:lineRule="auto"/>
        <w:jc w:val="both"/>
        <w:rPr>
          <w:rFonts w:ascii="Arial" w:eastAsia="Arial" w:hAnsi="Arial" w:cs="Arial"/>
          <w:highlight w:val="yellow"/>
        </w:rPr>
      </w:pPr>
    </w:p>
    <w:p w14:paraId="00000111" w14:textId="77777777" w:rsidR="004F5D47" w:rsidRDefault="004F5D47">
      <w:pPr>
        <w:spacing w:after="0" w:line="276" w:lineRule="auto"/>
        <w:jc w:val="both"/>
        <w:rPr>
          <w:rFonts w:ascii="Arial" w:eastAsia="Arial" w:hAnsi="Arial" w:cs="Arial"/>
          <w:highlight w:val="yellow"/>
        </w:rPr>
      </w:pPr>
    </w:p>
    <w:p w14:paraId="00000112" w14:textId="77777777" w:rsidR="004F5D47" w:rsidRDefault="004F5D47">
      <w:pPr>
        <w:spacing w:after="0" w:line="276" w:lineRule="auto"/>
        <w:jc w:val="both"/>
        <w:rPr>
          <w:rFonts w:ascii="Arial" w:eastAsia="Arial" w:hAnsi="Arial" w:cs="Arial"/>
          <w:highlight w:val="yellow"/>
        </w:rPr>
      </w:pPr>
    </w:p>
    <w:p w14:paraId="00000113" w14:textId="77777777" w:rsidR="004F5D47" w:rsidRDefault="004F5D47">
      <w:pPr>
        <w:spacing w:after="0" w:line="276" w:lineRule="auto"/>
        <w:jc w:val="both"/>
        <w:rPr>
          <w:rFonts w:ascii="Arial" w:eastAsia="Arial" w:hAnsi="Arial" w:cs="Arial"/>
          <w:highlight w:val="yellow"/>
        </w:rPr>
      </w:pPr>
    </w:p>
    <w:p w14:paraId="00000114" w14:textId="77777777" w:rsidR="004F5D47" w:rsidRDefault="004F5D47">
      <w:pPr>
        <w:spacing w:after="0" w:line="276" w:lineRule="auto"/>
        <w:jc w:val="both"/>
        <w:rPr>
          <w:rFonts w:ascii="Arial" w:eastAsia="Arial" w:hAnsi="Arial" w:cs="Arial"/>
          <w:highlight w:val="yellow"/>
        </w:rPr>
      </w:pPr>
    </w:p>
    <w:p w14:paraId="00000115" w14:textId="77777777" w:rsidR="004F5D47" w:rsidRDefault="004F5D47">
      <w:pPr>
        <w:spacing w:after="0" w:line="276" w:lineRule="auto"/>
        <w:jc w:val="both"/>
        <w:rPr>
          <w:rFonts w:ascii="Arial" w:eastAsia="Arial" w:hAnsi="Arial" w:cs="Arial"/>
          <w:highlight w:val="yellow"/>
        </w:rPr>
      </w:pPr>
    </w:p>
    <w:p w14:paraId="00000116" w14:textId="77777777" w:rsidR="004F5D47" w:rsidRDefault="004F5D47">
      <w:pPr>
        <w:spacing w:after="0" w:line="276" w:lineRule="auto"/>
        <w:jc w:val="both"/>
        <w:rPr>
          <w:rFonts w:ascii="Arial" w:eastAsia="Arial" w:hAnsi="Arial" w:cs="Arial"/>
          <w:highlight w:val="yellow"/>
        </w:rPr>
      </w:pPr>
    </w:p>
    <w:p w14:paraId="00000117" w14:textId="77777777" w:rsidR="004F5D47" w:rsidRDefault="00000000">
      <w:pPr>
        <w:spacing w:before="240" w:after="0" w:line="276" w:lineRule="auto"/>
        <w:jc w:val="both"/>
        <w:rPr>
          <w:rFonts w:ascii="Arial" w:eastAsia="Arial" w:hAnsi="Arial" w:cs="Arial"/>
          <w:highlight w:val="yellow"/>
        </w:rPr>
      </w:pPr>
      <w:r>
        <w:rPr>
          <w:rFonts w:ascii="Arial" w:eastAsia="Arial" w:hAnsi="Arial" w:cs="Arial"/>
          <w:highlight w:val="yellow"/>
        </w:rPr>
        <w:t xml:space="preserve">PARA REVISAR EN </w:t>
      </w:r>
      <w:sdt>
        <w:sdtPr>
          <w:tag w:val="goog_rdk_8"/>
          <w:id w:val="-924321752"/>
        </w:sdtPr>
        <w:sdtContent>
          <w:commentRangeStart w:id="9"/>
        </w:sdtContent>
      </w:sdt>
      <w:r>
        <w:rPr>
          <w:rFonts w:ascii="Arial" w:eastAsia="Arial" w:hAnsi="Arial" w:cs="Arial"/>
          <w:highlight w:val="yellow"/>
        </w:rPr>
        <w:t>CONJUNTO:</w:t>
      </w:r>
      <w:commentRangeEnd w:id="9"/>
      <w:r>
        <w:rPr>
          <w:rStyle w:val="Refdecomentario"/>
          <w:rFonts w:ascii="Arial" w:eastAsia="Arial" w:hAnsi="Arial" w:cs="Arial"/>
          <w:sz w:val="22"/>
          <w:szCs w:val="22"/>
          <w:highlight w:val="yellow"/>
        </w:rPr>
        <w:commentReference w:id="9"/>
      </w:r>
    </w:p>
    <w:p w14:paraId="00000118" w14:textId="77777777" w:rsidR="004F5D47" w:rsidRDefault="00000000">
      <w:pPr>
        <w:spacing w:before="240" w:after="0" w:line="276" w:lineRule="auto"/>
        <w:jc w:val="both"/>
        <w:rPr>
          <w:rFonts w:ascii="Arial" w:eastAsia="Arial" w:hAnsi="Arial" w:cs="Arial"/>
          <w:highlight w:val="yellow"/>
        </w:rPr>
      </w:pPr>
      <w:r>
        <w:rPr>
          <w:rFonts w:ascii="Arial" w:eastAsia="Arial" w:hAnsi="Arial" w:cs="Arial"/>
          <w:highlight w:val="yellow"/>
        </w:rPr>
        <w:t>Como resultado del proyecto para “Promover la gobernanza del aire mediante el fortalecimiento de una estrategia pedagógica y comunicativa para la apropiación social del Índice Bogotano de Calidad del Aire y Riesgo en Salud — IBOCA — que aporte al empoderamiento de la ciudadanía frente a la calidad del aire en Bogotá”, el cual fue desarrollado entre las Secretarías de Ambiente y Salud, con la cooperación internacional de Vital Strategies se elaboraron  tácticas pedagógicas y comunicativas que permitieron materializar estos propósitos, las cuales se describen a continuación:</w:t>
      </w:r>
    </w:p>
    <w:p w14:paraId="00000119" w14:textId="77777777" w:rsidR="004F5D47" w:rsidRDefault="00000000">
      <w:pPr>
        <w:spacing w:before="240" w:after="0" w:line="276" w:lineRule="auto"/>
        <w:jc w:val="both"/>
        <w:rPr>
          <w:rFonts w:ascii="Arial" w:eastAsia="Arial" w:hAnsi="Arial" w:cs="Arial"/>
          <w:highlight w:val="yellow"/>
          <w:u w:val="single"/>
        </w:rPr>
      </w:pPr>
      <w:r>
        <w:rPr>
          <w:rFonts w:ascii="Arial" w:eastAsia="Arial" w:hAnsi="Arial" w:cs="Arial"/>
          <w:highlight w:val="yellow"/>
        </w:rPr>
        <w:t xml:space="preserve"> </w:t>
      </w:r>
      <w:r>
        <w:rPr>
          <w:rFonts w:ascii="Arial" w:eastAsia="Arial" w:hAnsi="Arial" w:cs="Arial"/>
          <w:highlight w:val="yellow"/>
          <w:u w:val="single"/>
        </w:rPr>
        <w:t>Tácticas pedagógicas:</w:t>
      </w:r>
    </w:p>
    <w:p w14:paraId="0000011A" w14:textId="77777777" w:rsidR="004F5D47" w:rsidRDefault="00000000">
      <w:pPr>
        <w:numPr>
          <w:ilvl w:val="0"/>
          <w:numId w:val="1"/>
        </w:numPr>
        <w:spacing w:before="240" w:after="240" w:line="276" w:lineRule="auto"/>
        <w:rPr>
          <w:rFonts w:ascii="Arial" w:eastAsia="Arial" w:hAnsi="Arial" w:cs="Arial"/>
          <w:highlight w:val="yellow"/>
        </w:rPr>
      </w:pPr>
      <w:r>
        <w:rPr>
          <w:rFonts w:ascii="Arial" w:eastAsia="Arial" w:hAnsi="Arial" w:cs="Arial"/>
          <w:highlight w:val="yellow"/>
        </w:rPr>
        <w:t xml:space="preserve">Se realizaron diez talleres inmersivos sobre calidad del aire en 5 colegios de Bogotá, priorizando las zonas caracterizadas por altos niveles de contaminación del aire en los cuales participaron 214 líderes ambientales y vigías escolares, fortaleciendo su rol como multiplicadores de la información y promoviendo su liderazgo en temas ambientales relacionados con calidad del aire y efectos de la contaminación atmosférica en la salud. Esto con el fin de promover la conciencia y educación ambiental desde las aulas. </w:t>
      </w:r>
    </w:p>
    <w:p w14:paraId="0000011B" w14:textId="77777777" w:rsidR="004F5D47" w:rsidRDefault="00000000">
      <w:pPr>
        <w:spacing w:before="240" w:after="0" w:line="276" w:lineRule="auto"/>
        <w:ind w:left="720"/>
        <w:jc w:val="both"/>
        <w:rPr>
          <w:rFonts w:ascii="Arial" w:eastAsia="Arial" w:hAnsi="Arial" w:cs="Arial"/>
          <w:highlight w:val="yellow"/>
        </w:rPr>
      </w:pPr>
      <w:r>
        <w:rPr>
          <w:rFonts w:ascii="Arial" w:eastAsia="Arial" w:hAnsi="Arial" w:cs="Arial"/>
          <w:highlight w:val="yellow"/>
        </w:rPr>
        <w:t>●    Desarrollo de  una jornada académica dirigida a profesionales de la salud en donde se fortalecieron los conocimientos y prácticas relacionadas con la calidad del aire, promoviendo la incorporación del IBOCA en las prácticas de estos profesionales.</w:t>
      </w:r>
    </w:p>
    <w:p w14:paraId="0000011C" w14:textId="77777777" w:rsidR="004F5D47" w:rsidRDefault="00000000">
      <w:pPr>
        <w:spacing w:before="240" w:after="0" w:line="276" w:lineRule="auto"/>
        <w:jc w:val="both"/>
        <w:rPr>
          <w:rFonts w:ascii="Arial" w:eastAsia="Arial" w:hAnsi="Arial" w:cs="Arial"/>
          <w:highlight w:val="yellow"/>
        </w:rPr>
      </w:pPr>
      <w:r>
        <w:rPr>
          <w:rFonts w:ascii="Arial" w:eastAsia="Arial" w:hAnsi="Arial" w:cs="Arial"/>
          <w:highlight w:val="yellow"/>
        </w:rPr>
        <w:t xml:space="preserve">   ●     Se desarrollaron cuatro actividades comunitarias de sensibilización, adaptadas a públicos específicos y con enfoques diferenciados.  </w:t>
      </w:r>
    </w:p>
    <w:p w14:paraId="0000011D" w14:textId="77777777" w:rsidR="004F5D47" w:rsidRDefault="00000000">
      <w:pPr>
        <w:spacing w:before="240" w:after="240" w:line="276" w:lineRule="auto"/>
        <w:jc w:val="both"/>
        <w:rPr>
          <w:rFonts w:ascii="Arial" w:eastAsia="Arial" w:hAnsi="Arial" w:cs="Arial"/>
          <w:highlight w:val="yellow"/>
        </w:rPr>
      </w:pPr>
      <w:r>
        <w:rPr>
          <w:rFonts w:ascii="Arial" w:eastAsia="Arial" w:hAnsi="Arial" w:cs="Arial"/>
          <w:highlight w:val="yellow"/>
        </w:rPr>
        <w:t xml:space="preserve"> </w:t>
      </w:r>
    </w:p>
    <w:p w14:paraId="0000011E" w14:textId="77777777" w:rsidR="004F5D47" w:rsidRDefault="00000000">
      <w:pPr>
        <w:spacing w:before="240" w:after="0" w:line="276" w:lineRule="auto"/>
        <w:jc w:val="both"/>
        <w:rPr>
          <w:rFonts w:ascii="Arial" w:eastAsia="Arial" w:hAnsi="Arial" w:cs="Arial"/>
          <w:highlight w:val="yellow"/>
          <w:u w:val="single"/>
        </w:rPr>
      </w:pPr>
      <w:r>
        <w:rPr>
          <w:rFonts w:ascii="Arial" w:eastAsia="Arial" w:hAnsi="Arial" w:cs="Arial"/>
          <w:highlight w:val="yellow"/>
          <w:u w:val="single"/>
        </w:rPr>
        <w:t>Tácticas Comunicativas</w:t>
      </w:r>
    </w:p>
    <w:p w14:paraId="0000011F" w14:textId="77777777" w:rsidR="004F5D47" w:rsidRDefault="00000000">
      <w:pPr>
        <w:spacing w:before="240" w:after="0" w:line="276" w:lineRule="auto"/>
        <w:jc w:val="both"/>
        <w:rPr>
          <w:rFonts w:ascii="Arial" w:eastAsia="Arial" w:hAnsi="Arial" w:cs="Arial"/>
          <w:highlight w:val="yellow"/>
        </w:rPr>
      </w:pPr>
      <w:r>
        <w:rPr>
          <w:rFonts w:ascii="Arial" w:eastAsia="Arial" w:hAnsi="Arial" w:cs="Arial"/>
          <w:highlight w:val="yellow"/>
        </w:rPr>
        <w:t>● Se definió una narrativa como guía de la estrategia de comunicación asegurando un mensaje coherente y poderoso permitiendo tener una respuesta estratégica de acuerdo a los perfiles que participen en la conversación pública (encuadre de la narrativa),  para desarrollar un rol específico dentro de la historia del IBOCA</w:t>
      </w:r>
    </w:p>
    <w:p w14:paraId="00000120" w14:textId="77777777" w:rsidR="004F5D47" w:rsidRDefault="00000000">
      <w:pPr>
        <w:spacing w:before="240" w:after="240" w:line="276" w:lineRule="auto"/>
        <w:jc w:val="both"/>
        <w:rPr>
          <w:rFonts w:ascii="Arial" w:eastAsia="Arial" w:hAnsi="Arial" w:cs="Arial"/>
          <w:highlight w:val="yellow"/>
        </w:rPr>
      </w:pPr>
      <w:r>
        <w:rPr>
          <w:rFonts w:ascii="Arial" w:eastAsia="Arial" w:hAnsi="Arial" w:cs="Arial"/>
          <w:highlight w:val="yellow"/>
        </w:rPr>
        <w:t xml:space="preserve"> ●       Se realizó una alianza estratégica con medios de comunicación y periodistas  que fue un componente clave para alcanzar los objetivos de gobernanza y comunicación, especialmente en el esfuerzo por fomentar la apropiación social del Índice Bogotano de Calidad del Aire y Riesgo en Salud (IBOCA). A continuación se describen las acciones desarrolladas :</w:t>
      </w:r>
    </w:p>
    <w:p w14:paraId="00000121" w14:textId="77777777" w:rsidR="004F5D47" w:rsidRDefault="00000000">
      <w:pPr>
        <w:spacing w:after="0" w:line="276" w:lineRule="auto"/>
        <w:ind w:left="360"/>
        <w:jc w:val="both"/>
        <w:rPr>
          <w:rFonts w:ascii="Arial" w:eastAsia="Arial" w:hAnsi="Arial" w:cs="Arial"/>
          <w:highlight w:val="yellow"/>
        </w:rPr>
      </w:pPr>
      <w:r>
        <w:rPr>
          <w:rFonts w:ascii="Arial" w:eastAsia="Arial" w:hAnsi="Arial" w:cs="Arial"/>
          <w:highlight w:val="yellow"/>
        </w:rPr>
        <w:t>·      Publicación de 5 notas en medios luego de implementar la narrativa.</w:t>
      </w:r>
    </w:p>
    <w:p w14:paraId="00000122" w14:textId="77777777" w:rsidR="004F5D47" w:rsidRDefault="00000000">
      <w:pPr>
        <w:spacing w:after="0" w:line="276" w:lineRule="auto"/>
        <w:ind w:left="360"/>
        <w:jc w:val="both"/>
        <w:rPr>
          <w:rFonts w:ascii="Arial" w:eastAsia="Arial" w:hAnsi="Arial" w:cs="Arial"/>
          <w:highlight w:val="yellow"/>
        </w:rPr>
      </w:pPr>
      <w:r>
        <w:rPr>
          <w:rFonts w:ascii="Arial" w:eastAsia="Arial" w:hAnsi="Arial" w:cs="Arial"/>
          <w:highlight w:val="yellow"/>
        </w:rPr>
        <w:t>·      Difusión de columnas de opinión especializadas.</w:t>
      </w:r>
    </w:p>
    <w:p w14:paraId="00000123" w14:textId="77777777" w:rsidR="004F5D47" w:rsidRDefault="00000000">
      <w:pPr>
        <w:spacing w:after="0" w:line="276" w:lineRule="auto"/>
        <w:ind w:left="360"/>
        <w:jc w:val="both"/>
        <w:rPr>
          <w:rFonts w:ascii="Arial" w:eastAsia="Arial" w:hAnsi="Arial" w:cs="Arial"/>
          <w:highlight w:val="yellow"/>
        </w:rPr>
      </w:pPr>
      <w:r>
        <w:rPr>
          <w:rFonts w:ascii="Arial" w:eastAsia="Arial" w:hAnsi="Arial" w:cs="Arial"/>
          <w:highlight w:val="yellow"/>
        </w:rPr>
        <w:t>·      Visibilización de testimoniales reales de usuarios del IBOCA para generar empatía y credibilidad.</w:t>
      </w:r>
    </w:p>
    <w:p w14:paraId="00000124" w14:textId="77777777" w:rsidR="004F5D47" w:rsidRDefault="00000000">
      <w:pPr>
        <w:spacing w:before="240" w:after="240" w:line="276" w:lineRule="auto"/>
        <w:ind w:left="720"/>
        <w:jc w:val="both"/>
        <w:rPr>
          <w:rFonts w:ascii="Arial" w:eastAsia="Arial" w:hAnsi="Arial" w:cs="Arial"/>
          <w:highlight w:val="yellow"/>
        </w:rPr>
      </w:pPr>
      <w:r>
        <w:rPr>
          <w:rFonts w:ascii="Arial" w:eastAsia="Arial" w:hAnsi="Arial" w:cs="Arial"/>
          <w:highlight w:val="yellow"/>
        </w:rPr>
        <w:t>●   Creación de piezas gráficas (27 infografías y 5 videos) alineadas con la narrativa del IBOCA</w:t>
      </w:r>
    </w:p>
    <w:p w14:paraId="00000125" w14:textId="77777777" w:rsidR="004F5D47" w:rsidRDefault="00000000">
      <w:pPr>
        <w:spacing w:before="240" w:after="240" w:line="276" w:lineRule="auto"/>
        <w:jc w:val="both"/>
        <w:rPr>
          <w:rFonts w:ascii="Arial" w:eastAsia="Arial" w:hAnsi="Arial" w:cs="Arial"/>
          <w:highlight w:val="yellow"/>
        </w:rPr>
      </w:pPr>
      <w:r>
        <w:rPr>
          <w:rFonts w:ascii="Arial" w:eastAsia="Arial" w:hAnsi="Arial" w:cs="Arial"/>
          <w:highlight w:val="yellow"/>
        </w:rPr>
        <w:t>●    Fortalecimiento de 5 voceros  (academia y las secretarías de Ambiente y salud) con base en los resultados de encuestas Gallup, asegurando que la narrativa del IBOCA y los impactos de la contaminación del aire en la salud fueran comprendidos y adoptados de manera conjunta por los participantes.</w:t>
      </w:r>
    </w:p>
    <w:p w14:paraId="00000126" w14:textId="77777777" w:rsidR="004F5D47" w:rsidRDefault="004F5D47">
      <w:pPr>
        <w:spacing w:after="0" w:line="276" w:lineRule="auto"/>
        <w:jc w:val="both"/>
        <w:rPr>
          <w:rFonts w:ascii="Arial" w:eastAsia="Arial" w:hAnsi="Arial" w:cs="Arial"/>
          <w:highlight w:val="yellow"/>
        </w:rPr>
      </w:pPr>
    </w:p>
    <w:p w14:paraId="00000127" w14:textId="77777777" w:rsidR="004F5D47" w:rsidRDefault="00000000">
      <w:pPr>
        <w:numPr>
          <w:ilvl w:val="0"/>
          <w:numId w:val="10"/>
        </w:numPr>
        <w:spacing w:after="0" w:line="276" w:lineRule="auto"/>
        <w:jc w:val="both"/>
        <w:rPr>
          <w:rFonts w:ascii="Arial" w:eastAsia="Arial" w:hAnsi="Arial" w:cs="Arial"/>
          <w:highlight w:val="white"/>
        </w:rPr>
      </w:pPr>
      <w:sdt>
        <w:sdtPr>
          <w:tag w:val="goog_rdk_9"/>
          <w:id w:val="-723684888"/>
        </w:sdtPr>
        <w:sdtContent>
          <w:commentRangeStart w:id="10"/>
        </w:sdtContent>
      </w:sdt>
      <w:r>
        <w:rPr>
          <w:rFonts w:ascii="Arial" w:eastAsia="Arial" w:hAnsi="Arial" w:cs="Arial"/>
          <w:highlight w:val="white"/>
        </w:rPr>
        <w:t xml:space="preserve">Se actualizó el curso virtual contaminación del aire y efectos en la salud. El cual,  está compuesto por cinco módulos: 1) contaminación del aire y sus fuentes; 2) efectos en la salud por la exposición a la contaminación del aire; 3) Índice Bogotano de la Calidad del Aire y Riesgo en salud – IBOCA; 4) recomendaciones para el cuidado de la salud; 5) recomendaciones para contribuir o mejorar la calidad del aire. Cada módulo tiene una presentación en genially y un documento de profundización, además, incluye un glosario, material de consulta de salud y ambiental. Posteriormente publicación en la plataforma aprender salud de la SDS. En el año 2025 se desarrolló una cohorte. El enlace del curso es: </w:t>
      </w:r>
      <w:hyperlink r:id="rId19">
        <w:r>
          <w:rPr>
            <w:rFonts w:ascii="Arial" w:eastAsia="Arial" w:hAnsi="Arial" w:cs="Arial"/>
            <w:color w:val="1155CC"/>
            <w:highlight w:val="white"/>
            <w:u w:val="single"/>
          </w:rPr>
          <w:t>https://aulavirtual.saludcapital.gov.co/sicap/course/view.php?id=540</w:t>
        </w:r>
      </w:hyperlink>
    </w:p>
    <w:p w14:paraId="00000128" w14:textId="77777777" w:rsidR="004F5D47" w:rsidRDefault="00000000">
      <w:pPr>
        <w:numPr>
          <w:ilvl w:val="0"/>
          <w:numId w:val="10"/>
        </w:numPr>
        <w:spacing w:after="0" w:line="276" w:lineRule="auto"/>
        <w:jc w:val="both"/>
        <w:rPr>
          <w:rFonts w:ascii="Arial" w:eastAsia="Arial" w:hAnsi="Arial" w:cs="Arial"/>
          <w:highlight w:val="white"/>
        </w:rPr>
      </w:pPr>
      <w:r>
        <w:rPr>
          <w:rFonts w:ascii="Arial" w:eastAsia="Arial" w:hAnsi="Arial" w:cs="Arial"/>
          <w:highlight w:val="white"/>
        </w:rPr>
        <w:t>En el portal de salud ambiental de la Secretaría Distrital (</w:t>
      </w:r>
      <w:hyperlink r:id="rId20">
        <w:r>
          <w:rPr>
            <w:rFonts w:ascii="Arial" w:eastAsia="Arial" w:hAnsi="Arial" w:cs="Arial"/>
            <w:color w:val="1155CC"/>
            <w:highlight w:val="white"/>
            <w:u w:val="single"/>
          </w:rPr>
          <w:t>https://saludambiental.saludcapital.gov.co/aire_documentos</w:t>
        </w:r>
      </w:hyperlink>
      <w:r>
        <w:rPr>
          <w:rFonts w:ascii="Arial" w:eastAsia="Arial" w:hAnsi="Arial" w:cs="Arial"/>
          <w:highlight w:val="white"/>
        </w:rPr>
        <w:t xml:space="preserve">) están publicadas las siguientes infografías calidad del aire: </w:t>
      </w:r>
    </w:p>
    <w:p w14:paraId="00000129" w14:textId="77777777" w:rsidR="004F5D47" w:rsidRDefault="00000000">
      <w:pPr>
        <w:numPr>
          <w:ilvl w:val="0"/>
          <w:numId w:val="2"/>
        </w:numPr>
        <w:spacing w:after="0" w:line="276" w:lineRule="auto"/>
        <w:ind w:left="1440"/>
        <w:jc w:val="both"/>
        <w:rPr>
          <w:highlight w:val="white"/>
        </w:rPr>
      </w:pPr>
      <w:r>
        <w:rPr>
          <w:rFonts w:ascii="Arial" w:eastAsia="Arial" w:hAnsi="Arial" w:cs="Arial"/>
          <w:highlight w:val="white"/>
        </w:rPr>
        <w:t>“Día sin carro y sin moto” año 2026.</w:t>
      </w:r>
    </w:p>
    <w:p w14:paraId="0000012A" w14:textId="77777777" w:rsidR="004F5D47" w:rsidRDefault="00000000">
      <w:pPr>
        <w:numPr>
          <w:ilvl w:val="0"/>
          <w:numId w:val="2"/>
        </w:numPr>
        <w:spacing w:after="0" w:line="276" w:lineRule="auto"/>
        <w:ind w:left="1440"/>
        <w:jc w:val="both"/>
        <w:rPr>
          <w:highlight w:val="white"/>
        </w:rPr>
      </w:pPr>
      <w:r>
        <w:rPr>
          <w:rFonts w:ascii="Arial" w:eastAsia="Arial" w:hAnsi="Arial" w:cs="Arial"/>
          <w:highlight w:val="white"/>
        </w:rPr>
        <w:t>“Cómo la contaminación ambiental afecta el sueño” año 2026.</w:t>
      </w:r>
    </w:p>
    <w:p w14:paraId="0000012B" w14:textId="77777777" w:rsidR="004F5D47" w:rsidRDefault="00000000">
      <w:pPr>
        <w:numPr>
          <w:ilvl w:val="0"/>
          <w:numId w:val="2"/>
        </w:numPr>
        <w:spacing w:after="0" w:line="276" w:lineRule="auto"/>
        <w:ind w:left="1440"/>
        <w:jc w:val="both"/>
        <w:rPr>
          <w:highlight w:val="white"/>
        </w:rPr>
      </w:pPr>
      <w:r>
        <w:rPr>
          <w:rFonts w:ascii="Arial" w:eastAsia="Arial" w:hAnsi="Arial" w:cs="Arial"/>
          <w:highlight w:val="white"/>
        </w:rPr>
        <w:t>"Día Mundial del del Ahorro de Energía" año 2025.</w:t>
      </w:r>
    </w:p>
    <w:p w14:paraId="0000012C" w14:textId="77777777" w:rsidR="004F5D47" w:rsidRDefault="00000000">
      <w:pPr>
        <w:numPr>
          <w:ilvl w:val="0"/>
          <w:numId w:val="2"/>
        </w:numPr>
        <w:spacing w:after="0" w:line="276" w:lineRule="auto"/>
        <w:ind w:left="1440"/>
        <w:jc w:val="both"/>
        <w:rPr>
          <w:highlight w:val="white"/>
        </w:rPr>
      </w:pPr>
      <w:r>
        <w:rPr>
          <w:rFonts w:ascii="Arial" w:eastAsia="Arial" w:hAnsi="Arial" w:cs="Arial"/>
          <w:highlight w:val="white"/>
        </w:rPr>
        <w:t>"Día internacional capa de ozono" año 2025.</w:t>
      </w:r>
    </w:p>
    <w:p w14:paraId="0000012D" w14:textId="77777777" w:rsidR="004F5D47" w:rsidRDefault="00000000">
      <w:pPr>
        <w:numPr>
          <w:ilvl w:val="0"/>
          <w:numId w:val="2"/>
        </w:numPr>
        <w:spacing w:after="0" w:line="276" w:lineRule="auto"/>
        <w:ind w:left="1440"/>
        <w:jc w:val="both"/>
        <w:rPr>
          <w:highlight w:val="white"/>
        </w:rPr>
      </w:pPr>
      <w:r>
        <w:rPr>
          <w:rFonts w:ascii="Arial" w:eastAsia="Arial" w:hAnsi="Arial" w:cs="Arial"/>
          <w:highlight w:val="white"/>
        </w:rPr>
        <w:t>"Día interamericano calidad del aire" año 2025.</w:t>
      </w:r>
    </w:p>
    <w:p w14:paraId="0000012E" w14:textId="77777777" w:rsidR="004F5D47" w:rsidRDefault="00000000">
      <w:pPr>
        <w:numPr>
          <w:ilvl w:val="0"/>
          <w:numId w:val="2"/>
        </w:numPr>
        <w:spacing w:after="0" w:line="276" w:lineRule="auto"/>
        <w:ind w:left="1440"/>
        <w:jc w:val="both"/>
        <w:rPr>
          <w:highlight w:val="white"/>
        </w:rPr>
      </w:pPr>
      <w:r>
        <w:rPr>
          <w:rFonts w:ascii="Arial" w:eastAsia="Arial" w:hAnsi="Arial" w:cs="Arial"/>
          <w:highlight w:val="white"/>
        </w:rPr>
        <w:t>"Día Internacional del Aire Limpio" año 2025.</w:t>
      </w:r>
    </w:p>
    <w:p w14:paraId="0000012F" w14:textId="77777777" w:rsidR="004F5D47" w:rsidRDefault="00000000">
      <w:pPr>
        <w:numPr>
          <w:ilvl w:val="0"/>
          <w:numId w:val="2"/>
        </w:numPr>
        <w:spacing w:after="0" w:line="276" w:lineRule="auto"/>
        <w:ind w:left="1440"/>
        <w:jc w:val="both"/>
        <w:rPr>
          <w:highlight w:val="white"/>
        </w:rPr>
      </w:pPr>
      <w:r>
        <w:rPr>
          <w:rFonts w:ascii="Arial" w:eastAsia="Arial" w:hAnsi="Arial" w:cs="Arial"/>
          <w:highlight w:val="white"/>
        </w:rPr>
        <w:t>” Semana Ambiental” año 2025.</w:t>
      </w:r>
    </w:p>
    <w:p w14:paraId="00000130" w14:textId="77777777" w:rsidR="004F5D47" w:rsidRDefault="00000000">
      <w:pPr>
        <w:numPr>
          <w:ilvl w:val="0"/>
          <w:numId w:val="2"/>
        </w:numPr>
        <w:spacing w:after="0" w:line="276" w:lineRule="auto"/>
        <w:jc w:val="both"/>
        <w:rPr>
          <w:rFonts w:ascii="Arial" w:eastAsia="Arial" w:hAnsi="Arial" w:cs="Arial"/>
          <w:highlight w:val="white"/>
        </w:rPr>
      </w:pPr>
      <w:r>
        <w:rPr>
          <w:rFonts w:ascii="Arial" w:eastAsia="Arial" w:hAnsi="Arial" w:cs="Arial"/>
          <w:highlight w:val="white"/>
        </w:rPr>
        <w:t>Piezas comunicativas sobre recomendaciones para prevenir problemas en salud por exposición a la contaminación del aire (</w:t>
      </w:r>
      <w:commentRangeEnd w:id="10"/>
      <w:r>
        <w:rPr>
          <w:rStyle w:val="Refdecomentario"/>
          <w:rFonts w:ascii="Arial" w:eastAsia="Arial" w:hAnsi="Arial" w:cs="Arial"/>
          <w:sz w:val="22"/>
          <w:szCs w:val="22"/>
          <w:highlight w:val="yellow"/>
        </w:rPr>
        <w:commentReference w:id="10"/>
      </w:r>
      <w:r>
        <w:rPr>
          <w:rFonts w:ascii="Arial" w:eastAsia="Arial" w:hAnsi="Arial" w:cs="Arial"/>
          <w:highlight w:val="yellow"/>
        </w:rPr>
        <w:t xml:space="preserve">Anexo 3).  </w:t>
      </w:r>
      <w:sdt>
        <w:sdtPr>
          <w:tag w:val="goog_rdk_10"/>
          <w:id w:val="-1615381589"/>
        </w:sdtPr>
        <w:sdtContent>
          <w:commentRangeStart w:id="11"/>
        </w:sdtContent>
      </w:sdt>
    </w:p>
    <w:commentRangeEnd w:id="11"/>
    <w:p w14:paraId="00000131" w14:textId="77777777" w:rsidR="004F5D47" w:rsidRDefault="00000000">
      <w:pPr>
        <w:spacing w:before="240" w:after="0" w:line="276" w:lineRule="auto"/>
        <w:ind w:left="1440"/>
        <w:jc w:val="both"/>
        <w:rPr>
          <w:rFonts w:ascii="Arial" w:eastAsia="Arial" w:hAnsi="Arial" w:cs="Arial"/>
          <w:highlight w:val="white"/>
        </w:rPr>
      </w:pPr>
      <w:r>
        <w:rPr>
          <w:rStyle w:val="Refdecomentario"/>
          <w:rFonts w:ascii="Arial" w:eastAsia="Arial" w:hAnsi="Arial" w:cs="Arial"/>
          <w:sz w:val="22"/>
          <w:szCs w:val="22"/>
          <w:highlight w:val="white"/>
        </w:rPr>
        <w:commentReference w:id="11"/>
      </w:r>
    </w:p>
    <w:p w14:paraId="00000132" w14:textId="77777777" w:rsidR="004F5D47" w:rsidRDefault="004F5D47">
      <w:pPr>
        <w:spacing w:after="0" w:line="276" w:lineRule="auto"/>
        <w:ind w:left="720"/>
        <w:jc w:val="both"/>
        <w:rPr>
          <w:rFonts w:ascii="Arial" w:eastAsia="Arial" w:hAnsi="Arial" w:cs="Arial"/>
          <w:highlight w:val="cyan"/>
        </w:rPr>
      </w:pPr>
    </w:p>
    <w:p w14:paraId="00000133" w14:textId="77777777" w:rsidR="004F5D47" w:rsidRDefault="004F5D47">
      <w:pPr>
        <w:spacing w:after="0" w:line="276" w:lineRule="auto"/>
        <w:ind w:left="1440"/>
        <w:jc w:val="both"/>
        <w:rPr>
          <w:rFonts w:ascii="Arial" w:eastAsia="Arial" w:hAnsi="Arial" w:cs="Arial"/>
        </w:rPr>
      </w:pPr>
    </w:p>
    <w:p w14:paraId="00000134" w14:textId="77777777" w:rsidR="004F5D47" w:rsidRDefault="00000000">
      <w:pPr>
        <w:numPr>
          <w:ilvl w:val="0"/>
          <w:numId w:val="14"/>
        </w:numPr>
        <w:spacing w:before="240" w:after="240" w:line="276" w:lineRule="auto"/>
        <w:jc w:val="both"/>
        <w:rPr>
          <w:rFonts w:ascii="Arial" w:eastAsia="Arial" w:hAnsi="Arial" w:cs="Arial"/>
          <w:b/>
          <w:bCs/>
          <w:highlight w:val="yellow"/>
        </w:rPr>
      </w:pPr>
      <w:r>
        <w:rPr>
          <w:rFonts w:ascii="Arial" w:eastAsia="Arial" w:hAnsi="Arial" w:cs="Arial"/>
          <w:b/>
          <w:bCs/>
          <w:highlight w:val="yellow"/>
        </w:rPr>
        <w:t>Cursos de Calidad del Aire</w:t>
      </w:r>
    </w:p>
    <w:p w14:paraId="00000135" w14:textId="77777777" w:rsidR="004F5D47" w:rsidRDefault="00000000">
      <w:pPr>
        <w:spacing w:before="240" w:after="0" w:line="276" w:lineRule="auto"/>
        <w:jc w:val="both"/>
        <w:rPr>
          <w:rFonts w:ascii="Arial" w:eastAsia="Arial" w:hAnsi="Arial" w:cs="Arial"/>
          <w:highlight w:val="yellow"/>
        </w:rPr>
      </w:pPr>
      <w:r>
        <w:rPr>
          <w:rFonts w:ascii="Arial" w:eastAsia="Arial" w:hAnsi="Arial" w:cs="Arial"/>
          <w:highlight w:val="yellow"/>
        </w:rPr>
        <w:t>Se concluyó la elaboración de dos documentos fundamentales para el curso virtual "Respira Bogotá: Ciclo de F</w:t>
      </w:r>
      <w:sdt>
        <w:sdtPr>
          <w:tag w:val="goog_rdk_11"/>
          <w:id w:val="-1468813979"/>
        </w:sdtPr>
        <w:sdtContent>
          <w:commentRangeStart w:id="12"/>
        </w:sdtContent>
      </w:sdt>
      <w:r>
        <w:rPr>
          <w:rFonts w:ascii="Arial" w:eastAsia="Arial" w:hAnsi="Arial" w:cs="Arial"/>
          <w:highlight w:val="yellow"/>
        </w:rPr>
        <w:t>ormación en Calidad del Aire". El primero, una introducción detallada, establece el propósito, objetivos y las temáticas de los tres módulos, orientados a sensibilizar y capacitar a la ciudadanía. El segundo, un marco conceptual y normativo integral, articula aspectos técnicos, legales y de justicia ambiental, empoderando a los estudiantes como agentes de cambio en sus comunidades.</w:t>
      </w:r>
      <w:commentRangeEnd w:id="12"/>
      <w:r>
        <w:rPr>
          <w:rStyle w:val="Refdecomentario"/>
          <w:rFonts w:ascii="Arial" w:eastAsia="Arial" w:hAnsi="Arial" w:cs="Arial"/>
          <w:sz w:val="22"/>
          <w:szCs w:val="22"/>
          <w:highlight w:val="yellow"/>
        </w:rPr>
        <w:commentReference w:id="12"/>
      </w:r>
    </w:p>
    <w:p w14:paraId="00000136" w14:textId="77777777" w:rsidR="004F5D47" w:rsidRDefault="00000000">
      <w:pPr>
        <w:numPr>
          <w:ilvl w:val="0"/>
          <w:numId w:val="11"/>
        </w:numPr>
        <w:spacing w:before="240" w:after="240" w:line="276" w:lineRule="auto"/>
        <w:jc w:val="both"/>
        <w:rPr>
          <w:rFonts w:ascii="Arial" w:eastAsia="Arial" w:hAnsi="Arial" w:cs="Arial"/>
          <w:b/>
          <w:bCs/>
          <w:highlight w:val="yellow"/>
        </w:rPr>
      </w:pPr>
      <w:r>
        <w:rPr>
          <w:rFonts w:ascii="Arial" w:eastAsia="Arial" w:hAnsi="Arial" w:cs="Arial"/>
          <w:b/>
          <w:bCs/>
          <w:highlight w:val="yellow"/>
        </w:rPr>
        <w:t>Proyecto "Calidad del Aire para la Niñez y Juventud"</w:t>
      </w:r>
    </w:p>
    <w:p w14:paraId="00000137" w14:textId="77777777" w:rsidR="004F5D47" w:rsidRDefault="00000000">
      <w:pPr>
        <w:spacing w:before="240" w:after="0" w:line="276" w:lineRule="auto"/>
        <w:jc w:val="both"/>
        <w:rPr>
          <w:rFonts w:ascii="Arial" w:eastAsia="Arial" w:hAnsi="Arial" w:cs="Arial"/>
          <w:highlight w:val="yellow"/>
        </w:rPr>
      </w:pPr>
      <w:r>
        <w:rPr>
          <w:rFonts w:ascii="Arial" w:eastAsia="Arial" w:hAnsi="Arial" w:cs="Arial"/>
          <w:highlight w:val="yellow"/>
        </w:rPr>
        <w:t>Se siguió la misma línea de trabajo en el desarrollo de documentos para el curso "Respira Bogotá". Estos recursos consolidan la estructura pedagógica y los fundamentos conceptuales, garantizando coherencia, pertinencia y alineación con los objetivos de aprendizaje para niños, jóvenes y docentes, fortaleciendo la formación ambiental en los entornos educativos.</w:t>
      </w:r>
    </w:p>
    <w:p w14:paraId="00000138" w14:textId="77777777" w:rsidR="004F5D47" w:rsidRDefault="00000000">
      <w:pPr>
        <w:numPr>
          <w:ilvl w:val="0"/>
          <w:numId w:val="4"/>
        </w:numPr>
        <w:spacing w:before="240" w:after="0" w:line="276" w:lineRule="auto"/>
        <w:jc w:val="both"/>
        <w:rPr>
          <w:rFonts w:ascii="Arial" w:eastAsia="Arial" w:hAnsi="Arial" w:cs="Arial"/>
          <w:b/>
          <w:bCs/>
          <w:highlight w:val="yellow"/>
        </w:rPr>
      </w:pPr>
      <w:r>
        <w:rPr>
          <w:rFonts w:ascii="Arial" w:eastAsia="Arial" w:hAnsi="Arial" w:cs="Arial"/>
          <w:b/>
          <w:bCs/>
          <w:highlight w:val="yellow"/>
        </w:rPr>
        <w:t>Ciencia Ciudadana para la Calidad del Aire</w:t>
      </w:r>
    </w:p>
    <w:p w14:paraId="00000139" w14:textId="77777777" w:rsidR="004F5D47" w:rsidRDefault="00000000">
      <w:pPr>
        <w:spacing w:before="240" w:after="240" w:line="276" w:lineRule="auto"/>
        <w:jc w:val="both"/>
        <w:rPr>
          <w:rFonts w:ascii="Arial" w:eastAsia="Arial" w:hAnsi="Arial" w:cs="Arial"/>
          <w:highlight w:val="yellow"/>
        </w:rPr>
      </w:pPr>
      <w:r>
        <w:rPr>
          <w:rFonts w:ascii="Arial" w:eastAsia="Arial" w:hAnsi="Arial" w:cs="Arial"/>
          <w:highlight w:val="yellow"/>
        </w:rPr>
        <w:t>La Red de Microsensores avanzó en la definición del proceso contractual para la adquisición de nuevos equipos en 2025. Adicionalmente, se realizaron mesas de trabajo con el Instituto de Salud Global de Barcelona para identificar metodologías de dinamización dirigidas a personas mayores, fortaleciendo así la inclusión y participación ciudadana en el monitoreo de la calidad del aire.</w:t>
      </w:r>
    </w:p>
    <w:p w14:paraId="0000013A" w14:textId="77777777" w:rsidR="004F5D47" w:rsidRDefault="00000000">
      <w:pPr>
        <w:numPr>
          <w:ilvl w:val="0"/>
          <w:numId w:val="5"/>
        </w:numPr>
        <w:spacing w:before="240" w:after="240" w:line="276" w:lineRule="auto"/>
        <w:jc w:val="both"/>
        <w:rPr>
          <w:rFonts w:ascii="Arial" w:eastAsia="Arial" w:hAnsi="Arial" w:cs="Arial"/>
          <w:b/>
          <w:bCs/>
          <w:highlight w:val="yellow"/>
        </w:rPr>
      </w:pPr>
      <w:r>
        <w:rPr>
          <w:rFonts w:ascii="Arial" w:eastAsia="Arial" w:hAnsi="Arial" w:cs="Arial"/>
          <w:b/>
          <w:bCs/>
          <w:highlight w:val="yellow"/>
        </w:rPr>
        <w:t>Gobierno Abierto para la Calidad del Aire</w:t>
      </w:r>
    </w:p>
    <w:p w14:paraId="0000013B" w14:textId="77777777" w:rsidR="004F5D47" w:rsidRDefault="00000000">
      <w:pPr>
        <w:spacing w:before="240" w:after="240" w:line="276" w:lineRule="auto"/>
        <w:jc w:val="both"/>
        <w:rPr>
          <w:rFonts w:ascii="Arial" w:eastAsia="Arial" w:hAnsi="Arial" w:cs="Arial"/>
          <w:highlight w:val="yellow"/>
        </w:rPr>
      </w:pPr>
      <w:r>
        <w:rPr>
          <w:rFonts w:ascii="Arial" w:eastAsia="Arial" w:hAnsi="Arial" w:cs="Arial"/>
          <w:highlight w:val="yellow"/>
        </w:rPr>
        <w:t>Se desarrolló una metodología para el diseño de indicadores que orientará a los líderes de las diferentes estrategias en la definición de métricas claras, medibles y coherentes con los objetivos de sus proyectos. Esto estandariza la evaluación, el monitoreo y la toma de decisiones, mejorando la capacidad de gestión de la calidad del aire.</w:t>
      </w:r>
    </w:p>
    <w:p w14:paraId="0000013C" w14:textId="77777777" w:rsidR="004F5D47" w:rsidRDefault="00000000">
      <w:pPr>
        <w:numPr>
          <w:ilvl w:val="0"/>
          <w:numId w:val="3"/>
        </w:numPr>
        <w:spacing w:before="240" w:after="240" w:line="276" w:lineRule="auto"/>
        <w:jc w:val="both"/>
        <w:rPr>
          <w:rFonts w:ascii="Arial" w:eastAsia="Arial" w:hAnsi="Arial" w:cs="Arial"/>
          <w:highlight w:val="yellow"/>
        </w:rPr>
      </w:pPr>
      <w:r>
        <w:rPr>
          <w:rFonts w:ascii="Arial" w:eastAsia="Arial" w:hAnsi="Arial" w:cs="Arial"/>
          <w:b/>
          <w:bCs/>
          <w:highlight w:val="yellow"/>
        </w:rPr>
        <w:t>Cultura Ciudadana y Calidad del Aire</w:t>
      </w:r>
    </w:p>
    <w:p w14:paraId="0000013D" w14:textId="77777777" w:rsidR="004F5D47" w:rsidRDefault="00000000">
      <w:pPr>
        <w:spacing w:before="240" w:after="240" w:line="276" w:lineRule="auto"/>
        <w:jc w:val="both"/>
        <w:rPr>
          <w:rFonts w:ascii="Arial" w:eastAsia="Arial" w:hAnsi="Arial" w:cs="Arial"/>
          <w:highlight w:val="yellow"/>
        </w:rPr>
      </w:pPr>
      <w:r>
        <w:rPr>
          <w:rFonts w:ascii="Arial" w:eastAsia="Arial" w:hAnsi="Arial" w:cs="Arial"/>
          <w:highlight w:val="yellow"/>
        </w:rPr>
        <w:t>Se consolidó la ficha pedagógica de la estrategia VienTÚ, estructurando objetivos, metodología, materiales y conceptos clave. Esta herramienta, alineada con el IBOCA y el Plan Aire, guiará talleres en colegios, promoviendo la conciencia ambiental y el compromiso ciudadano, y destacando la importancia de la ventilación natural y el uso de sensores para mejorar la calidad del aire en espacios interiores.</w:t>
      </w:r>
    </w:p>
    <w:p w14:paraId="0000013E" w14:textId="77777777" w:rsidR="004F5D47" w:rsidRDefault="00000000">
      <w:pPr>
        <w:spacing w:before="240" w:after="240" w:line="276" w:lineRule="auto"/>
        <w:jc w:val="both"/>
        <w:rPr>
          <w:rFonts w:ascii="Arial" w:eastAsia="Arial" w:hAnsi="Arial" w:cs="Arial"/>
          <w:b/>
          <w:bCs/>
        </w:rPr>
      </w:pPr>
      <w:r>
        <w:rPr>
          <w:rFonts w:ascii="Arial" w:eastAsia="Arial" w:hAnsi="Arial" w:cs="Arial"/>
          <w:b/>
          <w:bCs/>
        </w:rPr>
        <w:t>5. Monitoreo de la calidad del aire</w:t>
      </w:r>
    </w:p>
    <w:p w14:paraId="0000013F" w14:textId="77777777" w:rsidR="004F5D47" w:rsidRDefault="00000000">
      <w:pPr>
        <w:spacing w:before="240" w:after="240" w:line="276" w:lineRule="auto"/>
        <w:jc w:val="both"/>
        <w:rPr>
          <w:rFonts w:ascii="Arial" w:eastAsia="Arial" w:hAnsi="Arial" w:cs="Arial"/>
        </w:rPr>
      </w:pPr>
      <w:r>
        <w:rPr>
          <w:rFonts w:ascii="Arial" w:eastAsia="Arial" w:hAnsi="Arial" w:cs="Arial"/>
        </w:rPr>
        <w:t>En concordancia con lo establecido en los artículos 2 y 3 del Acuerdo 802 del 2021, se han realizado las siguientes acciones relacionadas con el monitoreo de la calidad del aire.</w:t>
      </w:r>
    </w:p>
    <w:p w14:paraId="00000140" w14:textId="77777777" w:rsidR="004F5D47" w:rsidRDefault="00000000">
      <w:pPr>
        <w:spacing w:before="240" w:after="240" w:line="276" w:lineRule="auto"/>
        <w:jc w:val="both"/>
        <w:rPr>
          <w:rFonts w:ascii="Arial" w:eastAsia="Arial" w:hAnsi="Arial" w:cs="Arial"/>
        </w:rPr>
      </w:pPr>
      <w:r>
        <w:rPr>
          <w:rFonts w:ascii="Arial" w:eastAsia="Arial" w:hAnsi="Arial" w:cs="Arial"/>
          <w:b/>
          <w:bCs/>
          <w:i/>
          <w:iCs/>
          <w:u w:val="single"/>
        </w:rPr>
        <w:t>Red de Monitoreo de Calidad del Aire de Bogotá (RMCAB</w:t>
      </w:r>
      <w:r>
        <w:rPr>
          <w:rFonts w:ascii="Arial" w:eastAsia="Arial" w:hAnsi="Arial" w:cs="Arial"/>
        </w:rPr>
        <w:t>):</w:t>
      </w:r>
    </w:p>
    <w:p w14:paraId="00000141" w14:textId="77777777" w:rsidR="004F5D47" w:rsidRDefault="00000000">
      <w:pPr>
        <w:spacing w:before="240" w:after="240" w:line="276" w:lineRule="auto"/>
        <w:jc w:val="both"/>
        <w:rPr>
          <w:rFonts w:ascii="Arial" w:eastAsia="Arial" w:hAnsi="Arial" w:cs="Arial"/>
        </w:rPr>
      </w:pPr>
      <w:r>
        <w:rPr>
          <w:rFonts w:ascii="Arial" w:eastAsia="Arial" w:hAnsi="Arial" w:cs="Arial"/>
        </w:rPr>
        <w:t>La Red de Monitoreo de Calidad del Aire de Bogotá RMCAB de la SDA, es un sistema de vigilancia bastante robusto, automático que opera en tiempo real y data sus inicios desde el año 1997, actualmente consta de 19 estaciones que monitorean contaminantes criterio y variables meteorológicas, este sistema brinda datos bajo los criterios de aseguramiento de la calidad conforme la normatividad nacional y estándares de la US-EPA y cuenta con acreditación vigente por parte del IDEAM.</w:t>
      </w:r>
    </w:p>
    <w:p w14:paraId="00000142" w14:textId="77777777" w:rsidR="004F5D47" w:rsidRDefault="00000000">
      <w:pPr>
        <w:spacing w:before="240" w:after="240" w:line="276" w:lineRule="auto"/>
        <w:jc w:val="both"/>
        <w:rPr>
          <w:rFonts w:ascii="Arial" w:eastAsia="Arial" w:hAnsi="Arial" w:cs="Arial"/>
        </w:rPr>
      </w:pPr>
      <w:r>
        <w:rPr>
          <w:rFonts w:ascii="Arial" w:eastAsia="Arial" w:hAnsi="Arial" w:cs="Arial"/>
        </w:rPr>
        <w:t>Estos datos son insumo para la gestión integral de la calidad del aire en la ciudad, así como para la declaración de alertas y emergencias por contaminación atmosférica que se generan con base en el Índice Bogotano de Calidad del Aire y Riesgo en Salud -IBOCA- calculado a partir de las concentraciones de contaminantes criterio.</w:t>
      </w:r>
    </w:p>
    <w:p w14:paraId="00000143" w14:textId="77777777" w:rsidR="004F5D47" w:rsidRDefault="00000000">
      <w:pPr>
        <w:spacing w:before="240" w:after="240" w:line="276" w:lineRule="auto"/>
        <w:jc w:val="both"/>
        <w:rPr>
          <w:rFonts w:ascii="Arial" w:eastAsia="Arial" w:hAnsi="Arial" w:cs="Arial"/>
          <w:b/>
          <w:bCs/>
        </w:rPr>
      </w:pPr>
      <w:sdt>
        <w:sdtPr>
          <w:tag w:val="goog_rdk_12"/>
          <w:id w:val="1183749021"/>
        </w:sdtPr>
        <w:sdtContent>
          <w:commentRangeStart w:id="13"/>
        </w:sdtContent>
      </w:sdt>
      <w:sdt>
        <w:sdtPr>
          <w:tag w:val="goog_rdk_13"/>
          <w:id w:val="168850872"/>
        </w:sdtPr>
        <w:sdtContent>
          <w:commentRangeStart w:id="14"/>
        </w:sdtContent>
      </w:sdt>
      <w:sdt>
        <w:sdtPr>
          <w:tag w:val="goog_rdk_14"/>
          <w:id w:val="-1748828179"/>
        </w:sdtPr>
        <w:sdtContent>
          <w:commentRangeStart w:id="15"/>
        </w:sdtContent>
      </w:sdt>
      <w:r>
        <w:rPr>
          <w:rFonts w:ascii="Arial" w:eastAsia="Arial" w:hAnsi="Arial" w:cs="Arial"/>
          <w:b/>
          <w:bCs/>
        </w:rPr>
        <w:t>Red Colaborativa de Microsensores de Calidad del Aire:</w:t>
      </w:r>
      <w:commentRangeEnd w:id="13"/>
      <w:r>
        <w:rPr>
          <w:rStyle w:val="Refdecomentario"/>
          <w:rFonts w:ascii="Arial" w:eastAsia="Arial" w:hAnsi="Arial" w:cs="Arial"/>
          <w:b/>
          <w:bCs/>
          <w:sz w:val="22"/>
          <w:szCs w:val="22"/>
        </w:rPr>
        <w:commentReference w:id="13"/>
      </w:r>
      <w:commentRangeEnd w:id="14"/>
      <w:r>
        <w:rPr>
          <w:rStyle w:val="Refdecomentario"/>
          <w:rFonts w:ascii="Arial" w:eastAsia="Arial" w:hAnsi="Arial" w:cs="Arial"/>
          <w:b/>
          <w:bCs/>
          <w:sz w:val="22"/>
          <w:szCs w:val="22"/>
        </w:rPr>
        <w:commentReference w:id="14"/>
      </w:r>
      <w:commentRangeEnd w:id="15"/>
      <w:r>
        <w:rPr>
          <w:rStyle w:val="Refdecomentario"/>
          <w:rFonts w:ascii="Arial" w:eastAsia="Arial" w:hAnsi="Arial" w:cs="Arial"/>
          <w:b/>
          <w:bCs/>
          <w:sz w:val="22"/>
          <w:szCs w:val="22"/>
        </w:rPr>
        <w:commentReference w:id="15"/>
      </w:r>
    </w:p>
    <w:p w14:paraId="00000144" w14:textId="77777777" w:rsidR="004F5D47" w:rsidRDefault="00000000">
      <w:pPr>
        <w:spacing w:before="240" w:after="240" w:line="276" w:lineRule="auto"/>
        <w:jc w:val="both"/>
        <w:rPr>
          <w:rFonts w:ascii="Arial" w:eastAsia="Arial" w:hAnsi="Arial" w:cs="Arial"/>
        </w:rPr>
      </w:pPr>
      <w:r>
        <w:rPr>
          <w:rFonts w:ascii="Arial" w:eastAsia="Arial" w:hAnsi="Arial" w:cs="Arial"/>
        </w:rPr>
        <w:t xml:space="preserve">En concordancia con los lineamientos de participación del artículo 2 del Acuerdo 802 del 2021, especialmente con los “monitoreos territorializados de exposición”, la Secretaria Distrital de Ambiente ha implementado la Red Colaborativa de Microsensores que tiene como objetivo medir la concentración de contaminantes en microambientes para mejorar la gestión de la calidad del aire. Además, tiene como propósito convertirse en un instrumento que facilite el desarrollo de actividades enmarcadas en la estrategia de gobernanza de la calidad del aire, proyecto 42 del Plan Aire. La red se compone de equipos que gracias a su peso, reducido tamaño, facilidad de instalación y el bajo costo permite instalar un número importante de puntos de medición en diferentes microambientes, la información suministrada por estos equipos es un insumo para evaluar el impacto en la calidad del aire de intervenciones a escala local, identificar fuentes de emisión de contaminantes, tener mediciones de exposición ambiental especialmente en zonas de la ciudad con presencia de población sensible y vulnerable. Durante el periodo de reporte, marzo de 2025 a febrero de 2026, se realizó la ampliación de la cobertura de la red pasando de 48 puntos de medición a 70, así como el avance en el desarrollo de actividades que promueven la integración de la ciudadanía en los procesos de participación ciudadana y un fortalecimiento de su componente técnico. </w:t>
      </w:r>
    </w:p>
    <w:p w14:paraId="00000145" w14:textId="77777777" w:rsidR="004F5D47" w:rsidRDefault="004F5D47">
      <w:pPr>
        <w:spacing w:before="240" w:after="240" w:line="276" w:lineRule="auto"/>
        <w:jc w:val="both"/>
        <w:rPr>
          <w:rFonts w:ascii="Arial" w:eastAsia="Arial" w:hAnsi="Arial" w:cs="Arial"/>
        </w:rPr>
      </w:pPr>
    </w:p>
    <w:p w14:paraId="00000146" w14:textId="77777777" w:rsidR="004F5D47" w:rsidRDefault="00000000">
      <w:pPr>
        <w:spacing w:before="240" w:after="240" w:line="276" w:lineRule="auto"/>
        <w:jc w:val="both"/>
        <w:rPr>
          <w:rFonts w:ascii="Arial" w:eastAsia="Arial" w:hAnsi="Arial" w:cs="Arial"/>
        </w:rPr>
      </w:pPr>
      <w:r>
        <w:rPr>
          <w:rFonts w:ascii="Arial" w:eastAsia="Arial" w:hAnsi="Arial" w:cs="Arial"/>
        </w:rPr>
        <w:t>A continuación, se describe la ubicación de los puntos de monitoreo.</w:t>
      </w:r>
    </w:p>
    <w:p w14:paraId="00000147" w14:textId="77777777" w:rsidR="004F5D47" w:rsidRDefault="00000000">
      <w:pPr>
        <w:spacing w:before="240" w:after="240" w:line="276" w:lineRule="auto"/>
        <w:jc w:val="center"/>
        <w:rPr>
          <w:rFonts w:ascii="Arial" w:eastAsia="Arial" w:hAnsi="Arial" w:cs="Arial"/>
        </w:rPr>
      </w:pPr>
      <w:r>
        <w:rPr>
          <w:rFonts w:ascii="Arial" w:eastAsia="Arial" w:hAnsi="Arial" w:cs="Arial"/>
          <w:noProof/>
        </w:rPr>
        <w:drawing>
          <wp:inline distT="114300" distB="114300" distL="114300" distR="114300" wp14:anchorId="5396209A" wp14:editId="416D8E75">
            <wp:extent cx="5612130" cy="6515100"/>
            <wp:effectExtent l="0" t="0" r="0" b="0"/>
            <wp:docPr id="87546117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1"/>
                    <a:srcRect/>
                    <a:stretch>
                      <a:fillRect/>
                    </a:stretch>
                  </pic:blipFill>
                  <pic:spPr>
                    <a:xfrm>
                      <a:off x="0" y="0"/>
                      <a:ext cx="5612130" cy="6515100"/>
                    </a:xfrm>
                    <a:prstGeom prst="rect">
                      <a:avLst/>
                    </a:prstGeom>
                    <a:ln/>
                  </pic:spPr>
                </pic:pic>
              </a:graphicData>
            </a:graphic>
          </wp:inline>
        </w:drawing>
      </w:r>
    </w:p>
    <w:p w14:paraId="00000148" w14:textId="77777777" w:rsidR="004F5D47" w:rsidRDefault="00000000">
      <w:pPr>
        <w:spacing w:before="240" w:after="0" w:line="276" w:lineRule="auto"/>
        <w:jc w:val="center"/>
        <w:rPr>
          <w:rFonts w:ascii="Arial" w:eastAsia="Arial" w:hAnsi="Arial" w:cs="Arial"/>
        </w:rPr>
      </w:pPr>
      <w:r>
        <w:rPr>
          <w:rFonts w:ascii="Arial" w:eastAsia="Arial" w:hAnsi="Arial" w:cs="Arial"/>
        </w:rPr>
        <w:t>Figura 1. Cobertura de la red de microsensores</w:t>
      </w:r>
    </w:p>
    <w:p w14:paraId="00000149" w14:textId="77777777" w:rsidR="004F5D47" w:rsidRDefault="00000000">
      <w:pPr>
        <w:spacing w:after="0" w:line="276" w:lineRule="auto"/>
        <w:ind w:left="280"/>
        <w:jc w:val="center"/>
        <w:rPr>
          <w:rFonts w:ascii="Arial" w:eastAsia="Arial" w:hAnsi="Arial" w:cs="Arial"/>
        </w:rPr>
      </w:pPr>
      <w:r>
        <w:rPr>
          <w:rFonts w:ascii="Arial" w:eastAsia="Arial" w:hAnsi="Arial" w:cs="Arial"/>
          <w:i/>
          <w:iCs/>
        </w:rPr>
        <w:t>Fuente: Sistema de Alertas Tempranas Ambientales de Bogotá – SDA</w:t>
      </w:r>
    </w:p>
    <w:p w14:paraId="0000014A" w14:textId="77777777" w:rsidR="004F5D47" w:rsidRDefault="00000000">
      <w:pPr>
        <w:pStyle w:val="Ttulo1"/>
      </w:pPr>
      <w:bookmarkStart w:id="16" w:name="_heading=h.35nkun2" w:colFirst="0" w:colLast="0"/>
      <w:bookmarkEnd w:id="16"/>
      <w:r>
        <w:t>5. Consolidado de las denuncias ciudadanas sobre las situaciones que afectan la calidad del aire de la ciudad</w:t>
      </w:r>
    </w:p>
    <w:p w14:paraId="0000014B" w14:textId="77777777" w:rsidR="004F5D47" w:rsidRDefault="00000000">
      <w:pPr>
        <w:spacing w:before="240" w:after="0" w:line="276" w:lineRule="auto"/>
        <w:jc w:val="both"/>
        <w:rPr>
          <w:rFonts w:ascii="Arial" w:eastAsia="Arial" w:hAnsi="Arial" w:cs="Arial"/>
        </w:rPr>
      </w:pPr>
      <w:r>
        <w:rPr>
          <w:rFonts w:ascii="Arial" w:eastAsia="Arial" w:hAnsi="Arial" w:cs="Arial"/>
        </w:rPr>
        <w:t>Respecto a este apartado, es importante precisar que las quejas son un derecho constitucional fundamental que tiene toda persona a presentar solicitudes respetuosas a la autoridad, por motivos de interés general o particular y a obtener pronta resolución. Es así, que la Secretaría Distrital de Salud y la Secretaría Distrital de Ambiente, mediante las Subredes Integradas de Servicios de Salud y el equipo de la Subdirección de Calidad del Aire Auditiva y Visual respectivamente, realizan la atención a quejas relacionadas con problemáticas ambientales que impactan la salud de la población expuesta a contaminación del aire, humo de tabaco, olores ofensivos, ruido y radiaciones electromagnéticas no ionizantes (SDS).</w:t>
      </w:r>
    </w:p>
    <w:p w14:paraId="0000014C" w14:textId="77777777" w:rsidR="004F5D47" w:rsidRDefault="00000000">
      <w:pPr>
        <w:spacing w:before="240" w:after="0" w:line="276" w:lineRule="auto"/>
        <w:jc w:val="both"/>
        <w:rPr>
          <w:rFonts w:ascii="Arial" w:eastAsia="Arial" w:hAnsi="Arial" w:cs="Arial"/>
        </w:rPr>
      </w:pPr>
      <w:r>
        <w:rPr>
          <w:rFonts w:ascii="Arial" w:eastAsia="Arial" w:hAnsi="Arial" w:cs="Arial"/>
        </w:rPr>
        <w:t>De este modo la Secretaría Distrital de Ambiente, durante el año 2024, tramitó un total de 1415 quejas relacionadas con la temática de calidad del aire, de las cuales el 70% corresponde a quejas por las emisiones generadas por las fuentes fijas de contaminación y el 23% a fuentes móviles. El resto de las quejas presentadas corresponde a solicitudes realizadas  a la Red de Monitoreo de Calidad del Aire de Bogotá RMCAB (6%) del total de quejas atendidas.</w:t>
      </w:r>
    </w:p>
    <w:p w14:paraId="0000014D" w14:textId="77777777" w:rsidR="004F5D47" w:rsidRDefault="00000000">
      <w:pPr>
        <w:spacing w:before="240" w:after="0" w:line="276" w:lineRule="auto"/>
        <w:jc w:val="both"/>
        <w:rPr>
          <w:rFonts w:ascii="Arial" w:eastAsia="Arial" w:hAnsi="Arial" w:cs="Arial"/>
          <w:highlight w:val="white"/>
        </w:rPr>
      </w:pPr>
      <w:r>
        <w:rPr>
          <w:rFonts w:ascii="Arial" w:eastAsia="Arial" w:hAnsi="Arial" w:cs="Arial"/>
          <w:highlight w:val="white"/>
        </w:rPr>
        <w:t>Por su parte, desde la Secretaría Distrital de Salud durante el año 2025, fueron presentadas y atendidas 1.885 quejas, de las cuales el 57,5% corresponde a quejas por ruido, 26,8% a quejas por contaminación por olores ofensivos, 11,9% por quejas de contaminación del aire, 3,3% a quejas de tabaco y el 0,5% por infraestructuras de radiación electromagnética.</w:t>
      </w:r>
    </w:p>
    <w:p w14:paraId="0000014E" w14:textId="77777777" w:rsidR="004F5D47" w:rsidRDefault="004F5D47"/>
    <w:p w14:paraId="0000014F" w14:textId="77777777" w:rsidR="004F5D47" w:rsidRDefault="00000000">
      <w:pPr>
        <w:rPr>
          <w:rFonts w:ascii="Arial" w:eastAsia="Arial" w:hAnsi="Arial" w:cs="Arial"/>
          <w:b/>
          <w:bCs/>
        </w:rPr>
      </w:pPr>
      <w:r>
        <w:rPr>
          <w:rFonts w:ascii="Arial" w:eastAsia="Arial" w:hAnsi="Arial" w:cs="Arial"/>
          <w:b/>
          <w:bCs/>
        </w:rPr>
        <w:t>Bibliografía</w:t>
      </w:r>
    </w:p>
    <w:p w14:paraId="00000150" w14:textId="77777777" w:rsidR="004F5D47" w:rsidRDefault="004F5D47">
      <w:pPr>
        <w:rPr>
          <w:rFonts w:ascii="Arial" w:eastAsia="Arial" w:hAnsi="Arial" w:cs="Arial"/>
        </w:rPr>
      </w:pPr>
    </w:p>
    <w:p w14:paraId="00000151" w14:textId="77777777" w:rsidR="004F5D47" w:rsidRDefault="00000000">
      <w:pPr>
        <w:numPr>
          <w:ilvl w:val="0"/>
          <w:numId w:val="13"/>
        </w:numPr>
        <w:spacing w:after="0"/>
        <w:jc w:val="both"/>
        <w:rPr>
          <w:rFonts w:ascii="Arial" w:eastAsia="Arial" w:hAnsi="Arial" w:cs="Arial"/>
        </w:rPr>
      </w:pPr>
      <w:r>
        <w:rPr>
          <w:rFonts w:ascii="Arial" w:eastAsia="Arial" w:hAnsi="Arial" w:cs="Arial"/>
        </w:rPr>
        <w:t>Organización Mundial de la Salud (OMS). (2022a). Air pollution data portal. The Global Health Observatory de la OMS https://www.who.int/data/gho/data/themes/air-pollution</w:t>
      </w:r>
    </w:p>
    <w:p w14:paraId="00000152" w14:textId="77777777" w:rsidR="004F5D47" w:rsidRDefault="00000000">
      <w:pPr>
        <w:numPr>
          <w:ilvl w:val="0"/>
          <w:numId w:val="13"/>
        </w:numPr>
        <w:spacing w:after="0"/>
        <w:jc w:val="both"/>
        <w:rPr>
          <w:rFonts w:ascii="Arial" w:eastAsia="Arial" w:hAnsi="Arial" w:cs="Arial"/>
        </w:rPr>
      </w:pPr>
      <w:r>
        <w:rPr>
          <w:rFonts w:ascii="Arial" w:eastAsia="Arial" w:hAnsi="Arial" w:cs="Arial"/>
        </w:rPr>
        <w:t>Climate and Clean Air Coalition &amp; Clean Air Institute. (2022). Guía práctica para llevar a cabo una estimación inicial de beneficios en salud por mejoras en la calidad del aire en ciudades de América Latina y El Caribe con la herramienta AirQ+.</w:t>
      </w:r>
    </w:p>
    <w:p w14:paraId="00000153" w14:textId="77777777" w:rsidR="004F5D47" w:rsidRDefault="00000000">
      <w:pPr>
        <w:numPr>
          <w:ilvl w:val="0"/>
          <w:numId w:val="13"/>
        </w:numPr>
        <w:spacing w:after="0"/>
        <w:jc w:val="both"/>
        <w:rPr>
          <w:rFonts w:ascii="Arial" w:eastAsia="Arial" w:hAnsi="Arial" w:cs="Arial"/>
        </w:rPr>
      </w:pPr>
      <w:r>
        <w:rPr>
          <w:rFonts w:ascii="Arial" w:eastAsia="Arial" w:hAnsi="Arial" w:cs="Arial"/>
        </w:rPr>
        <w:t>Chen, J., &amp; Hoek, G. (2020). Long-term exposure to PM and all-cause and cause-specific mortality: A systematic review and meta-analysis. In Environment International (Vol. 143). Elsevier Ltd. https://doi.org/10.1016/j.envint.2020.105974</w:t>
      </w:r>
    </w:p>
    <w:p w14:paraId="00000154" w14:textId="77777777" w:rsidR="004F5D47" w:rsidRDefault="00000000">
      <w:pPr>
        <w:numPr>
          <w:ilvl w:val="0"/>
          <w:numId w:val="13"/>
        </w:numPr>
        <w:spacing w:after="0"/>
        <w:jc w:val="both"/>
        <w:rPr>
          <w:rFonts w:ascii="Arial" w:eastAsia="Arial" w:hAnsi="Arial" w:cs="Arial"/>
        </w:rPr>
      </w:pPr>
      <w:r>
        <w:rPr>
          <w:rFonts w:ascii="Arial" w:eastAsia="Arial" w:hAnsi="Arial" w:cs="Arial"/>
        </w:rPr>
        <w:t>Mena, R. (2012). Calidad del aire en Quibdó mediante bioindicadores. Revista Bioetnia, 9(2), 215–227.</w:t>
      </w:r>
      <w:hyperlink r:id="rId22">
        <w:r>
          <w:rPr>
            <w:rFonts w:ascii="Arial" w:eastAsia="Arial" w:hAnsi="Arial" w:cs="Arial"/>
          </w:rPr>
          <w:t xml:space="preserve"> </w:t>
        </w:r>
      </w:hyperlink>
      <w:hyperlink r:id="rId23">
        <w:r>
          <w:rPr>
            <w:rFonts w:ascii="Arial" w:eastAsia="Arial" w:hAnsi="Arial" w:cs="Arial"/>
            <w:color w:val="1155CC"/>
            <w:u w:val="single"/>
          </w:rPr>
          <w:t>https://doi.org/10.51641/bioetnia.v9i2.92</w:t>
        </w:r>
      </w:hyperlink>
    </w:p>
    <w:p w14:paraId="00000155" w14:textId="77777777" w:rsidR="004F5D47" w:rsidRDefault="00000000">
      <w:pPr>
        <w:numPr>
          <w:ilvl w:val="0"/>
          <w:numId w:val="13"/>
        </w:numPr>
        <w:spacing w:after="0"/>
        <w:jc w:val="both"/>
        <w:rPr>
          <w:rFonts w:ascii="Arial" w:eastAsia="Arial" w:hAnsi="Arial" w:cs="Arial"/>
        </w:rPr>
      </w:pPr>
      <w:r>
        <w:rPr>
          <w:rFonts w:ascii="Arial" w:eastAsia="Arial" w:hAnsi="Arial" w:cs="Arial"/>
        </w:rPr>
        <w:t>Jaramillo Ciro, M. M., Botero Botero, L. R., Jaramillo Ciro, M. M. &amp; Botero Botero, L. R. (2009). Comunidades liquénicas como bioindicadores de calidad del aire del Valle de Aburrá. Recuperado de:</w:t>
      </w:r>
      <w:hyperlink r:id="rId24">
        <w:r>
          <w:rPr>
            <w:rFonts w:ascii="Arial" w:eastAsia="Arial" w:hAnsi="Arial" w:cs="Arial"/>
          </w:rPr>
          <w:t xml:space="preserve"> </w:t>
        </w:r>
      </w:hyperlink>
      <w:hyperlink r:id="rId25">
        <w:r>
          <w:rPr>
            <w:rFonts w:ascii="Arial" w:eastAsia="Arial" w:hAnsi="Arial" w:cs="Arial"/>
            <w:color w:val="1155CC"/>
            <w:u w:val="single"/>
          </w:rPr>
          <w:t>http://hdl.handle.net/11407/3450</w:t>
        </w:r>
      </w:hyperlink>
      <w:r>
        <w:rPr>
          <w:rFonts w:ascii="Arial" w:eastAsia="Arial" w:hAnsi="Arial" w:cs="Arial"/>
        </w:rPr>
        <w:t>.</w:t>
      </w:r>
    </w:p>
    <w:p w14:paraId="00000156" w14:textId="77777777" w:rsidR="004F5D47" w:rsidRDefault="00000000">
      <w:pPr>
        <w:numPr>
          <w:ilvl w:val="0"/>
          <w:numId w:val="13"/>
        </w:numPr>
        <w:spacing w:after="0"/>
        <w:jc w:val="both"/>
        <w:rPr>
          <w:rFonts w:ascii="Arial" w:eastAsia="Arial" w:hAnsi="Arial" w:cs="Arial"/>
        </w:rPr>
      </w:pPr>
      <w:r>
        <w:rPr>
          <w:rFonts w:ascii="Arial" w:eastAsia="Arial" w:hAnsi="Arial" w:cs="Arial"/>
          <w:color w:val="333333"/>
          <w:highlight w:val="white"/>
        </w:rPr>
        <w:t xml:space="preserve">Alvarez Herrera, A. D., Ordoñez Zapata, P. A., &amp; Soto Medina, E. (2020). Determinación de la calidad del aire por medio de líquenes como bioindicadores en el área urbana del municipio de Tuluá, Valle del Cauca. </w:t>
      </w:r>
      <w:r>
        <w:rPr>
          <w:rFonts w:ascii="Arial" w:eastAsia="Arial" w:hAnsi="Arial" w:cs="Arial"/>
          <w:i/>
          <w:iCs/>
        </w:rPr>
        <w:t>Revista De Ciencias</w:t>
      </w:r>
      <w:r>
        <w:rPr>
          <w:rFonts w:ascii="Arial" w:eastAsia="Arial" w:hAnsi="Arial" w:cs="Arial"/>
        </w:rPr>
        <w:t xml:space="preserve">, </w:t>
      </w:r>
      <w:r>
        <w:rPr>
          <w:rFonts w:ascii="Arial" w:eastAsia="Arial" w:hAnsi="Arial" w:cs="Arial"/>
          <w:i/>
          <w:iCs/>
        </w:rPr>
        <w:t>24</w:t>
      </w:r>
      <w:r>
        <w:rPr>
          <w:rFonts w:ascii="Arial" w:eastAsia="Arial" w:hAnsi="Arial" w:cs="Arial"/>
        </w:rPr>
        <w:t>(2).</w:t>
      </w:r>
      <w:hyperlink r:id="rId26">
        <w:r>
          <w:rPr>
            <w:rFonts w:ascii="Arial" w:eastAsia="Arial" w:hAnsi="Arial" w:cs="Arial"/>
          </w:rPr>
          <w:t xml:space="preserve"> </w:t>
        </w:r>
      </w:hyperlink>
      <w:hyperlink r:id="rId27">
        <w:r>
          <w:rPr>
            <w:rFonts w:ascii="Arial" w:eastAsia="Arial" w:hAnsi="Arial" w:cs="Arial"/>
            <w:color w:val="1155CC"/>
            <w:u w:val="single"/>
          </w:rPr>
          <w:t>https://doi.org/10.25100/rc.v24i2.10528</w:t>
        </w:r>
      </w:hyperlink>
    </w:p>
    <w:p w14:paraId="00000157" w14:textId="77777777" w:rsidR="004F5D47" w:rsidRDefault="00000000">
      <w:pPr>
        <w:numPr>
          <w:ilvl w:val="0"/>
          <w:numId w:val="13"/>
        </w:numPr>
        <w:spacing w:after="240"/>
        <w:jc w:val="both"/>
      </w:pPr>
      <w:r>
        <w:rPr>
          <w:rFonts w:ascii="Arial" w:eastAsia="Arial" w:hAnsi="Arial" w:cs="Arial"/>
        </w:rPr>
        <w:t xml:space="preserve">Julián, F. R. (2021). Bioindicadores como herramienta de identificación de impactos en escenarios viales, aproximación al caso colombiano. Recuperado de: </w:t>
      </w:r>
      <w:hyperlink r:id="rId28">
        <w:r>
          <w:rPr>
            <w:rFonts w:ascii="Arial" w:eastAsia="Arial" w:hAnsi="Arial" w:cs="Arial"/>
            <w:color w:val="0000FF"/>
            <w:u w:val="single"/>
          </w:rPr>
          <w:t>http://hdl.handle.net/20.500.11912/11491</w:t>
        </w:r>
      </w:hyperlink>
      <w:r>
        <w:rPr>
          <w:rFonts w:ascii="Arial" w:eastAsia="Arial" w:hAnsi="Arial" w:cs="Arial"/>
        </w:rPr>
        <w:t>.</w:t>
      </w:r>
    </w:p>
    <w:p w14:paraId="00000158" w14:textId="77777777" w:rsidR="004F5D47" w:rsidRDefault="00000000">
      <w:pPr>
        <w:spacing w:after="240"/>
        <w:jc w:val="both"/>
      </w:pPr>
      <w:r>
        <w:rPr>
          <w:rFonts w:ascii="Arial" w:eastAsia="Arial" w:hAnsi="Arial" w:cs="Arial"/>
        </w:rPr>
        <w:t>Bibliografía agregada por César Geney</w:t>
      </w:r>
    </w:p>
    <w:p w14:paraId="00000159" w14:textId="77777777" w:rsidR="004F5D47" w:rsidRDefault="00000000">
      <w:pPr>
        <w:ind w:hanging="480"/>
        <w:rPr>
          <w:rFonts w:ascii="Arial" w:eastAsia="Arial" w:hAnsi="Arial" w:cs="Arial"/>
          <w:color w:val="EE0000"/>
        </w:rPr>
      </w:pPr>
      <w:r>
        <w:rPr>
          <w:rFonts w:ascii="Arial" w:eastAsia="Arial" w:hAnsi="Arial" w:cs="Arial"/>
          <w:color w:val="EE0000"/>
        </w:rPr>
        <w:t xml:space="preserve">Anderson, H. R., Atkinson, R. W., Bremner, S. A., &amp; Marston, L. (2003). Particulate air pollution and hospital admissions for cardiorespiratory diseases: Are the elderly at greater risk? </w:t>
      </w:r>
      <w:r>
        <w:rPr>
          <w:rFonts w:ascii="Arial" w:eastAsia="Arial" w:hAnsi="Arial" w:cs="Arial"/>
          <w:i/>
          <w:iCs/>
          <w:color w:val="EE0000"/>
        </w:rPr>
        <w:t>European Respiratory Journal, Supplement</w:t>
      </w:r>
      <w:r>
        <w:rPr>
          <w:rFonts w:ascii="Arial" w:eastAsia="Arial" w:hAnsi="Arial" w:cs="Arial"/>
          <w:color w:val="EE0000"/>
        </w:rPr>
        <w:t xml:space="preserve">, </w:t>
      </w:r>
      <w:r>
        <w:rPr>
          <w:rFonts w:ascii="Arial" w:eastAsia="Arial" w:hAnsi="Arial" w:cs="Arial"/>
          <w:i/>
          <w:iCs/>
          <w:color w:val="EE0000"/>
        </w:rPr>
        <w:t>21</w:t>
      </w:r>
      <w:r>
        <w:rPr>
          <w:rFonts w:ascii="Arial" w:eastAsia="Arial" w:hAnsi="Arial" w:cs="Arial"/>
          <w:color w:val="EE0000"/>
        </w:rPr>
        <w:t>(40). https://doi.org/10.1183/09031936.03.00402203</w:t>
      </w:r>
    </w:p>
    <w:p w14:paraId="0000015A" w14:textId="77777777" w:rsidR="004F5D47" w:rsidRDefault="00000000">
      <w:pPr>
        <w:ind w:hanging="480"/>
        <w:rPr>
          <w:rFonts w:ascii="Arial" w:eastAsia="Arial" w:hAnsi="Arial" w:cs="Arial"/>
          <w:color w:val="EE0000"/>
        </w:rPr>
      </w:pPr>
      <w:r>
        <w:rPr>
          <w:rFonts w:ascii="Arial" w:eastAsia="Arial" w:hAnsi="Arial" w:cs="Arial"/>
          <w:color w:val="EE0000"/>
        </w:rPr>
        <w:t xml:space="preserve">Chaudhuri, S., &amp; Roy, M. (2024). Moss Bags as Active Biomonitors of Air Pollution: Current State of Understanding, Applications and Concerns. In </w:t>
      </w:r>
      <w:r>
        <w:rPr>
          <w:rFonts w:ascii="Arial" w:eastAsia="Arial" w:hAnsi="Arial" w:cs="Arial"/>
          <w:i/>
          <w:iCs/>
          <w:color w:val="EE0000"/>
        </w:rPr>
        <w:t>Nature Environment and Pollution Technology</w:t>
      </w:r>
      <w:r>
        <w:rPr>
          <w:rFonts w:ascii="Arial" w:eastAsia="Arial" w:hAnsi="Arial" w:cs="Arial"/>
          <w:color w:val="EE0000"/>
        </w:rPr>
        <w:t xml:space="preserve"> (Vol. 23, Number 2, pp. 829–841). Technoscience Publications. https://doi.org/10.46488/NEPT.2024.v23i02.019</w:t>
      </w:r>
    </w:p>
    <w:p w14:paraId="0000015B" w14:textId="77777777" w:rsidR="004F5D47" w:rsidRDefault="00000000">
      <w:pPr>
        <w:ind w:hanging="480"/>
        <w:rPr>
          <w:rFonts w:ascii="Arial" w:eastAsia="Arial" w:hAnsi="Arial" w:cs="Arial"/>
          <w:color w:val="EE0000"/>
        </w:rPr>
      </w:pPr>
      <w:r>
        <w:rPr>
          <w:rFonts w:ascii="Arial" w:eastAsia="Arial" w:hAnsi="Arial" w:cs="Arial"/>
          <w:color w:val="EE0000"/>
        </w:rPr>
        <w:t xml:space="preserve">Cromar, K. R., Ghazipura, M., Gladson, L. A., &amp; Perlmutt, L. (2020). Evaluating the U.S. Air Quality Index as a risk communication tool: Comparing associations of index values with respiratory morbidity among adults in California. </w:t>
      </w:r>
      <w:r>
        <w:rPr>
          <w:rFonts w:ascii="Arial" w:eastAsia="Arial" w:hAnsi="Arial" w:cs="Arial"/>
          <w:i/>
          <w:iCs/>
          <w:color w:val="EE0000"/>
        </w:rPr>
        <w:t>PLoS ONE</w:t>
      </w:r>
      <w:r>
        <w:rPr>
          <w:rFonts w:ascii="Arial" w:eastAsia="Arial" w:hAnsi="Arial" w:cs="Arial"/>
          <w:color w:val="EE0000"/>
        </w:rPr>
        <w:t xml:space="preserve">, </w:t>
      </w:r>
      <w:r>
        <w:rPr>
          <w:rFonts w:ascii="Arial" w:eastAsia="Arial" w:hAnsi="Arial" w:cs="Arial"/>
          <w:i/>
          <w:iCs/>
          <w:color w:val="EE0000"/>
        </w:rPr>
        <w:t>15</w:t>
      </w:r>
      <w:r>
        <w:rPr>
          <w:rFonts w:ascii="Arial" w:eastAsia="Arial" w:hAnsi="Arial" w:cs="Arial"/>
          <w:color w:val="EE0000"/>
        </w:rPr>
        <w:t>(11 November). https://doi.org/10.1371/journal.pone.0242031</w:t>
      </w:r>
    </w:p>
    <w:p w14:paraId="0000015C" w14:textId="77777777" w:rsidR="004F5D47" w:rsidRDefault="00000000">
      <w:pPr>
        <w:ind w:hanging="480"/>
        <w:rPr>
          <w:rFonts w:ascii="Arial" w:eastAsia="Arial" w:hAnsi="Arial" w:cs="Arial"/>
          <w:color w:val="EE0000"/>
        </w:rPr>
      </w:pPr>
      <w:r>
        <w:rPr>
          <w:rFonts w:ascii="Arial" w:eastAsia="Arial" w:hAnsi="Arial" w:cs="Arial"/>
          <w:color w:val="EE0000"/>
        </w:rPr>
        <w:t xml:space="preserve">Environmental Protection Agency (EPA). (2021). </w:t>
      </w:r>
      <w:r>
        <w:rPr>
          <w:rFonts w:ascii="Arial" w:eastAsia="Arial" w:hAnsi="Arial" w:cs="Arial"/>
          <w:i/>
          <w:iCs/>
          <w:color w:val="EE0000"/>
        </w:rPr>
        <w:t>Best Practices for Review and Validation of Ambient Air Monitoring Data</w:t>
      </w:r>
      <w:r>
        <w:rPr>
          <w:rFonts w:ascii="Arial" w:eastAsia="Arial" w:hAnsi="Arial" w:cs="Arial"/>
          <w:color w:val="EE0000"/>
        </w:rPr>
        <w:t>.</w:t>
      </w:r>
    </w:p>
    <w:p w14:paraId="0000015D" w14:textId="77777777" w:rsidR="004F5D47" w:rsidRDefault="00000000">
      <w:pPr>
        <w:ind w:hanging="480"/>
        <w:rPr>
          <w:rFonts w:ascii="Arial" w:eastAsia="Arial" w:hAnsi="Arial" w:cs="Arial"/>
          <w:color w:val="EE0000"/>
        </w:rPr>
      </w:pPr>
      <w:r>
        <w:rPr>
          <w:rFonts w:ascii="Arial" w:eastAsia="Arial" w:hAnsi="Arial" w:cs="Arial"/>
          <w:color w:val="EE0000"/>
        </w:rPr>
        <w:t xml:space="preserve">EPA (Environmental Protection Agency). (2024). </w:t>
      </w:r>
      <w:r>
        <w:rPr>
          <w:rFonts w:ascii="Arial" w:eastAsia="Arial" w:hAnsi="Arial" w:cs="Arial"/>
          <w:i/>
          <w:iCs/>
          <w:color w:val="EE0000"/>
        </w:rPr>
        <w:t>Technical Assistance Document for the Reporting of Daily Air Quality – the Air Quality Index (AQI)</w:t>
      </w:r>
      <w:r>
        <w:rPr>
          <w:rFonts w:ascii="Arial" w:eastAsia="Arial" w:hAnsi="Arial" w:cs="Arial"/>
          <w:color w:val="EE0000"/>
        </w:rPr>
        <w:t>.</w:t>
      </w:r>
    </w:p>
    <w:p w14:paraId="0000015E" w14:textId="77777777" w:rsidR="004F5D47" w:rsidRDefault="00000000">
      <w:pPr>
        <w:ind w:hanging="480"/>
        <w:rPr>
          <w:rFonts w:ascii="Arial" w:eastAsia="Arial" w:hAnsi="Arial" w:cs="Arial"/>
          <w:color w:val="EE0000"/>
        </w:rPr>
      </w:pPr>
      <w:r>
        <w:rPr>
          <w:rFonts w:ascii="Arial" w:eastAsia="Arial" w:hAnsi="Arial" w:cs="Arial"/>
          <w:color w:val="EE0000"/>
        </w:rPr>
        <w:t xml:space="preserve">Gombert, S., Asta, J., &amp; Seaward, M. R. D. (2004). Assessment of lichen diversity by index of atmospheric purity (IAP), index of human impact (IHI) and other environmental factors in an urban area (Grenoble, southeast France). </w:t>
      </w:r>
      <w:r>
        <w:rPr>
          <w:rFonts w:ascii="Arial" w:eastAsia="Arial" w:hAnsi="Arial" w:cs="Arial"/>
          <w:i/>
          <w:iCs/>
          <w:color w:val="EE0000"/>
        </w:rPr>
        <w:t>Science of The Total Environment</w:t>
      </w:r>
      <w:r>
        <w:rPr>
          <w:rFonts w:ascii="Arial" w:eastAsia="Arial" w:hAnsi="Arial" w:cs="Arial"/>
          <w:color w:val="EE0000"/>
        </w:rPr>
        <w:t xml:space="preserve">, </w:t>
      </w:r>
      <w:r>
        <w:rPr>
          <w:rFonts w:ascii="Arial" w:eastAsia="Arial" w:hAnsi="Arial" w:cs="Arial"/>
          <w:i/>
          <w:iCs/>
          <w:color w:val="EE0000"/>
        </w:rPr>
        <w:t>324</w:t>
      </w:r>
      <w:r>
        <w:rPr>
          <w:rFonts w:ascii="Arial" w:eastAsia="Arial" w:hAnsi="Arial" w:cs="Arial"/>
          <w:color w:val="EE0000"/>
        </w:rPr>
        <w:t>(1–3), 183–199. https://doi.org/10.1016/J.SCITOTENV.2003.10.036</w:t>
      </w:r>
    </w:p>
    <w:p w14:paraId="0000015F" w14:textId="77777777" w:rsidR="004F5D47" w:rsidRDefault="00000000">
      <w:pPr>
        <w:ind w:hanging="480"/>
        <w:rPr>
          <w:rFonts w:ascii="Arial" w:eastAsia="Arial" w:hAnsi="Arial" w:cs="Arial"/>
          <w:color w:val="EE0000"/>
        </w:rPr>
      </w:pPr>
      <w:r>
        <w:rPr>
          <w:rFonts w:ascii="Arial" w:eastAsia="Arial" w:hAnsi="Arial" w:cs="Arial"/>
          <w:color w:val="EE0000"/>
        </w:rPr>
        <w:t xml:space="preserve">Janssen, S., &amp; Thunis, P. (2020). </w:t>
      </w:r>
      <w:r>
        <w:rPr>
          <w:rFonts w:ascii="Arial" w:eastAsia="Arial" w:hAnsi="Arial" w:cs="Arial"/>
          <w:i/>
          <w:iCs/>
          <w:color w:val="EE0000"/>
        </w:rPr>
        <w:t>FAIRMODE Guidance Document on Modelling Quality Objectives and Benchmarking</w:t>
      </w:r>
      <w:r>
        <w:rPr>
          <w:rFonts w:ascii="Arial" w:eastAsia="Arial" w:hAnsi="Arial" w:cs="Arial"/>
          <w:color w:val="EE0000"/>
        </w:rPr>
        <w:t>. https://doi.org/10.2760/30226</w:t>
      </w:r>
    </w:p>
    <w:p w14:paraId="00000160" w14:textId="77777777" w:rsidR="004F5D47" w:rsidRDefault="00000000">
      <w:pPr>
        <w:ind w:hanging="480"/>
        <w:rPr>
          <w:rFonts w:ascii="Arial" w:eastAsia="Arial" w:hAnsi="Arial" w:cs="Arial"/>
          <w:color w:val="EE0000"/>
        </w:rPr>
      </w:pPr>
      <w:r>
        <w:rPr>
          <w:rFonts w:ascii="Arial" w:eastAsia="Arial" w:hAnsi="Arial" w:cs="Arial"/>
          <w:color w:val="EE0000"/>
        </w:rPr>
        <w:t xml:space="preserve">Liu, P., Wang, X., Fan, J., Xiao, W., &amp; Wang, Y. (2016). Effects of air pollution on hospital emergency room visits for respiratory diseases: Urban-suburban differences in Eastern China. </w:t>
      </w:r>
      <w:r>
        <w:rPr>
          <w:rFonts w:ascii="Arial" w:eastAsia="Arial" w:hAnsi="Arial" w:cs="Arial"/>
          <w:i/>
          <w:iCs/>
          <w:color w:val="EE0000"/>
        </w:rPr>
        <w:t>International Journal of Environmental Research and Public Health</w:t>
      </w:r>
      <w:r>
        <w:rPr>
          <w:rFonts w:ascii="Arial" w:eastAsia="Arial" w:hAnsi="Arial" w:cs="Arial"/>
          <w:color w:val="EE0000"/>
        </w:rPr>
        <w:t xml:space="preserve">, </w:t>
      </w:r>
      <w:r>
        <w:rPr>
          <w:rFonts w:ascii="Arial" w:eastAsia="Arial" w:hAnsi="Arial" w:cs="Arial"/>
          <w:i/>
          <w:iCs/>
          <w:color w:val="EE0000"/>
        </w:rPr>
        <w:t>13</w:t>
      </w:r>
      <w:r>
        <w:rPr>
          <w:rFonts w:ascii="Arial" w:eastAsia="Arial" w:hAnsi="Arial" w:cs="Arial"/>
          <w:color w:val="EE0000"/>
        </w:rPr>
        <w:t>(3). https://doi.org/10.3390/ijerph13030341</w:t>
      </w:r>
    </w:p>
    <w:p w14:paraId="00000161" w14:textId="77777777" w:rsidR="004F5D47" w:rsidRDefault="00000000">
      <w:pPr>
        <w:ind w:hanging="480"/>
        <w:rPr>
          <w:rFonts w:ascii="Arial" w:eastAsia="Arial" w:hAnsi="Arial" w:cs="Arial"/>
          <w:color w:val="EE0000"/>
        </w:rPr>
      </w:pPr>
      <w:r>
        <w:rPr>
          <w:rFonts w:ascii="Arial" w:eastAsia="Arial" w:hAnsi="Arial" w:cs="Arial"/>
          <w:color w:val="EE0000"/>
        </w:rPr>
        <w:t xml:space="preserve">López, A. B. H., Torres-Duque, C. A., Arbeláez, M. P., Roa, N. Y. R., Riojas-Rodríguez, H., Sangrador, J. L. T., Herrera, V., &amp; Rodríguez-Villamizar, L. A. (2024). Short-term effect of air pollution exposure on COPD exacerbations: a time series study in Bogota, Colombia. </w:t>
      </w:r>
      <w:r>
        <w:rPr>
          <w:rFonts w:ascii="Arial" w:eastAsia="Arial" w:hAnsi="Arial" w:cs="Arial"/>
          <w:i/>
          <w:iCs/>
          <w:color w:val="EE0000"/>
        </w:rPr>
        <w:t>Air Quality, Atmosphere and Health</w:t>
      </w:r>
      <w:r>
        <w:rPr>
          <w:rFonts w:ascii="Arial" w:eastAsia="Arial" w:hAnsi="Arial" w:cs="Arial"/>
          <w:color w:val="EE0000"/>
        </w:rPr>
        <w:t xml:space="preserve">, </w:t>
      </w:r>
      <w:r>
        <w:rPr>
          <w:rFonts w:ascii="Arial" w:eastAsia="Arial" w:hAnsi="Arial" w:cs="Arial"/>
          <w:i/>
          <w:iCs/>
          <w:color w:val="EE0000"/>
        </w:rPr>
        <w:t>17</w:t>
      </w:r>
      <w:r>
        <w:rPr>
          <w:rFonts w:ascii="Arial" w:eastAsia="Arial" w:hAnsi="Arial" w:cs="Arial"/>
          <w:color w:val="EE0000"/>
        </w:rPr>
        <w:t>(12), 2775–2787. https://doi.org/10.1007/s11869-024-01600-8</w:t>
      </w:r>
    </w:p>
    <w:p w14:paraId="00000162" w14:textId="77777777" w:rsidR="004F5D47" w:rsidRDefault="00000000">
      <w:pPr>
        <w:ind w:hanging="480"/>
        <w:rPr>
          <w:rFonts w:ascii="Arial" w:eastAsia="Arial" w:hAnsi="Arial" w:cs="Arial"/>
          <w:color w:val="EE0000"/>
        </w:rPr>
      </w:pPr>
      <w:r>
        <w:rPr>
          <w:rFonts w:ascii="Arial" w:eastAsia="Arial" w:hAnsi="Arial" w:cs="Arial"/>
          <w:color w:val="EE0000"/>
        </w:rPr>
        <w:t xml:space="preserve">Meacci, S., Corsi, L., Santecchia, E., &amp; Ruschioni, S. (2025). Harnessing Electrostatic Forces: A Review of Bees as Bioindicators for Particulate Matter Detection. In </w:t>
      </w:r>
      <w:r>
        <w:rPr>
          <w:rFonts w:ascii="Arial" w:eastAsia="Arial" w:hAnsi="Arial" w:cs="Arial"/>
          <w:i/>
          <w:iCs/>
          <w:color w:val="EE0000"/>
        </w:rPr>
        <w:t xml:space="preserve">Insects </w:t>
      </w:r>
      <w:r>
        <w:rPr>
          <w:rFonts w:ascii="Arial" w:eastAsia="Arial" w:hAnsi="Arial" w:cs="Arial"/>
          <w:color w:val="EE0000"/>
        </w:rPr>
        <w:t>(Vol. 16, Number 4). Multidisciplinary Digital Publishing Institute (MDPI). https://doi.org/10.3390/insects16040373</w:t>
      </w:r>
    </w:p>
    <w:p w14:paraId="00000163" w14:textId="77777777" w:rsidR="004F5D47" w:rsidRDefault="00000000">
      <w:pPr>
        <w:ind w:hanging="480"/>
        <w:rPr>
          <w:rFonts w:ascii="Arial" w:eastAsia="Arial" w:hAnsi="Arial" w:cs="Arial"/>
          <w:color w:val="EE0000"/>
        </w:rPr>
      </w:pPr>
      <w:r>
        <w:rPr>
          <w:rFonts w:ascii="Arial" w:eastAsia="Arial" w:hAnsi="Arial" w:cs="Arial"/>
          <w:color w:val="EE0000"/>
        </w:rPr>
        <w:t xml:space="preserve">OMS. (2021). </w:t>
      </w:r>
      <w:r>
        <w:rPr>
          <w:rFonts w:ascii="Arial" w:eastAsia="Arial" w:hAnsi="Arial" w:cs="Arial"/>
          <w:i/>
          <w:iCs/>
          <w:color w:val="EE0000"/>
        </w:rPr>
        <w:t>WHO global air quality guidelines</w:t>
      </w:r>
      <w:r>
        <w:rPr>
          <w:rFonts w:ascii="Arial" w:eastAsia="Arial" w:hAnsi="Arial" w:cs="Arial"/>
          <w:color w:val="EE0000"/>
        </w:rPr>
        <w:t>.</w:t>
      </w:r>
    </w:p>
    <w:p w14:paraId="00000164" w14:textId="77777777" w:rsidR="004F5D47" w:rsidRDefault="00000000">
      <w:pPr>
        <w:ind w:hanging="480"/>
        <w:rPr>
          <w:rFonts w:ascii="Arial" w:eastAsia="Arial" w:hAnsi="Arial" w:cs="Arial"/>
          <w:color w:val="EE0000"/>
        </w:rPr>
      </w:pPr>
      <w:r>
        <w:rPr>
          <w:rFonts w:ascii="Arial" w:eastAsia="Arial" w:hAnsi="Arial" w:cs="Arial"/>
          <w:color w:val="EE0000"/>
        </w:rPr>
        <w:t xml:space="preserve">Reff, A., Mintz, D., &amp; Naess, L. (n.d.). </w:t>
      </w:r>
      <w:r>
        <w:rPr>
          <w:rFonts w:ascii="Arial" w:eastAsia="Arial" w:hAnsi="Arial" w:cs="Arial"/>
          <w:i/>
          <w:iCs/>
          <w:color w:val="EE0000"/>
        </w:rPr>
        <w:t>The O 3 NowCast: U.S. EPA’s Method for Characterizing and Communicating Current Air Quality</w:t>
      </w:r>
      <w:r>
        <w:rPr>
          <w:rFonts w:ascii="Arial" w:eastAsia="Arial" w:hAnsi="Arial" w:cs="Arial"/>
          <w:color w:val="EE0000"/>
        </w:rPr>
        <w:t>. Retrieved https://www.airnow.gov/</w:t>
      </w:r>
    </w:p>
    <w:p w14:paraId="00000165" w14:textId="77777777" w:rsidR="004F5D47" w:rsidRDefault="00000000">
      <w:pPr>
        <w:ind w:hanging="480"/>
        <w:rPr>
          <w:rFonts w:ascii="Arial" w:eastAsia="Arial" w:hAnsi="Arial" w:cs="Arial"/>
          <w:color w:val="EE0000"/>
        </w:rPr>
      </w:pPr>
      <w:r>
        <w:rPr>
          <w:rFonts w:ascii="Arial" w:eastAsia="Arial" w:hAnsi="Arial" w:cs="Arial"/>
          <w:color w:val="EE0000"/>
        </w:rPr>
        <w:t xml:space="preserve">Sicard, P., De Marco, A., Dalstein-Richier, L., Tagliaferro, F., Renou, C., &amp; Paoletti, E. (2016). An epidemiological assessment of stomatal ozone flux-based critical levels for visible ozone injury in Southern European forests. </w:t>
      </w:r>
      <w:r>
        <w:rPr>
          <w:rFonts w:ascii="Arial" w:eastAsia="Arial" w:hAnsi="Arial" w:cs="Arial"/>
          <w:i/>
          <w:iCs/>
          <w:color w:val="EE0000"/>
        </w:rPr>
        <w:t>Science of the Total Environment</w:t>
      </w:r>
      <w:r>
        <w:rPr>
          <w:rFonts w:ascii="Arial" w:eastAsia="Arial" w:hAnsi="Arial" w:cs="Arial"/>
          <w:color w:val="EE0000"/>
        </w:rPr>
        <w:t xml:space="preserve">, </w:t>
      </w:r>
      <w:r>
        <w:rPr>
          <w:rFonts w:ascii="Arial" w:eastAsia="Arial" w:hAnsi="Arial" w:cs="Arial"/>
          <w:i/>
          <w:iCs/>
          <w:color w:val="EE0000"/>
        </w:rPr>
        <w:t>541</w:t>
      </w:r>
      <w:r>
        <w:rPr>
          <w:rFonts w:ascii="Arial" w:eastAsia="Arial" w:hAnsi="Arial" w:cs="Arial"/>
          <w:color w:val="EE0000"/>
        </w:rPr>
        <w:t>, 729–741. https://doi.org/10.1016/j.scitotenv.2015.09.113</w:t>
      </w:r>
    </w:p>
    <w:p w14:paraId="00000166" w14:textId="77777777" w:rsidR="004F5D47" w:rsidRDefault="00000000">
      <w:pPr>
        <w:ind w:hanging="480"/>
        <w:rPr>
          <w:rFonts w:ascii="Arial" w:eastAsia="Arial" w:hAnsi="Arial" w:cs="Arial"/>
          <w:color w:val="EE0000"/>
        </w:rPr>
      </w:pPr>
      <w:r>
        <w:rPr>
          <w:rFonts w:ascii="Arial" w:eastAsia="Arial" w:hAnsi="Arial" w:cs="Arial"/>
          <w:color w:val="EE0000"/>
        </w:rPr>
        <w:t xml:space="preserve">Stieb, D. M., Burnett, R. T., Smith-Doiron, M., Brion, O., Hwashin, H. S., &amp; Economou, V. (2008). A new multipollutant, no-threshold air quality health index based on short-term associations observed in daily time-series analyses. </w:t>
      </w:r>
      <w:r>
        <w:rPr>
          <w:rFonts w:ascii="Arial" w:eastAsia="Arial" w:hAnsi="Arial" w:cs="Arial"/>
          <w:i/>
          <w:iCs/>
          <w:color w:val="EE0000"/>
        </w:rPr>
        <w:t>Journal of the Air and Waste Management Association</w:t>
      </w:r>
      <w:r>
        <w:rPr>
          <w:rFonts w:ascii="Arial" w:eastAsia="Arial" w:hAnsi="Arial" w:cs="Arial"/>
          <w:color w:val="EE0000"/>
        </w:rPr>
        <w:t xml:space="preserve">, </w:t>
      </w:r>
      <w:r>
        <w:rPr>
          <w:rFonts w:ascii="Arial" w:eastAsia="Arial" w:hAnsi="Arial" w:cs="Arial"/>
          <w:i/>
          <w:iCs/>
          <w:color w:val="EE0000"/>
        </w:rPr>
        <w:t>58</w:t>
      </w:r>
      <w:r>
        <w:rPr>
          <w:rFonts w:ascii="Arial" w:eastAsia="Arial" w:hAnsi="Arial" w:cs="Arial"/>
          <w:color w:val="EE0000"/>
        </w:rPr>
        <w:t>(3), 435–450. https://doi.org/10.3155/1047-3289.58.3.435</w:t>
      </w:r>
    </w:p>
    <w:p w14:paraId="00000167" w14:textId="77777777" w:rsidR="004F5D47" w:rsidRDefault="00000000">
      <w:pPr>
        <w:ind w:hanging="480"/>
        <w:rPr>
          <w:rFonts w:ascii="Arial" w:eastAsia="Arial" w:hAnsi="Arial" w:cs="Arial"/>
          <w:color w:val="EE0000"/>
        </w:rPr>
      </w:pPr>
      <w:r>
        <w:rPr>
          <w:rFonts w:ascii="Arial" w:eastAsia="Arial" w:hAnsi="Arial" w:cs="Arial"/>
          <w:color w:val="EE0000"/>
        </w:rPr>
        <w:t xml:space="preserve">Stojanowska, A., Zeynalli, F., Wróbel, M., &amp; Rybak, J. (2023). The use of spider webs in the monitoring of air quality—A review. </w:t>
      </w:r>
      <w:r>
        <w:rPr>
          <w:rFonts w:ascii="Arial" w:eastAsia="Arial" w:hAnsi="Arial" w:cs="Arial"/>
          <w:i/>
          <w:iCs/>
          <w:color w:val="EE0000"/>
        </w:rPr>
        <w:t>Integrated Environmental Assessment and Management</w:t>
      </w:r>
      <w:r>
        <w:rPr>
          <w:rFonts w:ascii="Arial" w:eastAsia="Arial" w:hAnsi="Arial" w:cs="Arial"/>
          <w:color w:val="EE0000"/>
        </w:rPr>
        <w:t xml:space="preserve">, </w:t>
      </w:r>
      <w:r>
        <w:rPr>
          <w:rFonts w:ascii="Arial" w:eastAsia="Arial" w:hAnsi="Arial" w:cs="Arial"/>
          <w:i/>
          <w:iCs/>
          <w:color w:val="EE0000"/>
        </w:rPr>
        <w:t>19</w:t>
      </w:r>
      <w:r>
        <w:rPr>
          <w:rFonts w:ascii="Arial" w:eastAsia="Arial" w:hAnsi="Arial" w:cs="Arial"/>
          <w:color w:val="EE0000"/>
        </w:rPr>
        <w:t>(1), 32–44. https://doi.org/10.1002/IEAM.4607</w:t>
      </w:r>
    </w:p>
    <w:p w14:paraId="00000168" w14:textId="77777777" w:rsidR="004F5D47" w:rsidRDefault="00000000">
      <w:pPr>
        <w:ind w:hanging="480"/>
        <w:rPr>
          <w:rFonts w:ascii="Arial" w:eastAsia="Arial" w:hAnsi="Arial" w:cs="Arial"/>
          <w:color w:val="EE0000"/>
        </w:rPr>
      </w:pPr>
      <w:r>
        <w:rPr>
          <w:rFonts w:ascii="Arial" w:eastAsia="Arial" w:hAnsi="Arial" w:cs="Arial"/>
          <w:color w:val="EE0000"/>
        </w:rPr>
        <w:t xml:space="preserve">Surit, P., Wongtanasarasin, W., Boonnag, C., &amp; Wittayachamnankul, B. (2023). Association between air quality index and effects on emergency department visits for acute respiratory and cardiovascular diseases. </w:t>
      </w:r>
      <w:r>
        <w:rPr>
          <w:rFonts w:ascii="Arial" w:eastAsia="Arial" w:hAnsi="Arial" w:cs="Arial"/>
          <w:i/>
          <w:iCs/>
          <w:color w:val="EE0000"/>
        </w:rPr>
        <w:t>PLoS ONE</w:t>
      </w:r>
      <w:r>
        <w:rPr>
          <w:rFonts w:ascii="Arial" w:eastAsia="Arial" w:hAnsi="Arial" w:cs="Arial"/>
          <w:color w:val="EE0000"/>
        </w:rPr>
        <w:t xml:space="preserve">, </w:t>
      </w:r>
      <w:r>
        <w:rPr>
          <w:rFonts w:ascii="Arial" w:eastAsia="Arial" w:hAnsi="Arial" w:cs="Arial"/>
          <w:i/>
          <w:iCs/>
          <w:color w:val="EE0000"/>
        </w:rPr>
        <w:t>18</w:t>
      </w:r>
      <w:r>
        <w:rPr>
          <w:rFonts w:ascii="Arial" w:eastAsia="Arial" w:hAnsi="Arial" w:cs="Arial"/>
          <w:color w:val="EE0000"/>
        </w:rPr>
        <w:t>(11 November). https://doi.org/10.1371/journal.pone.0294107</w:t>
      </w:r>
    </w:p>
    <w:p w14:paraId="00000169" w14:textId="77777777" w:rsidR="004F5D47" w:rsidRDefault="00000000">
      <w:pPr>
        <w:ind w:hanging="480"/>
        <w:rPr>
          <w:rFonts w:ascii="Arial" w:eastAsia="Arial" w:hAnsi="Arial" w:cs="Arial"/>
          <w:color w:val="EE0000"/>
        </w:rPr>
      </w:pPr>
      <w:r>
        <w:rPr>
          <w:rFonts w:ascii="Arial" w:eastAsia="Arial" w:hAnsi="Arial" w:cs="Arial"/>
          <w:color w:val="EE0000"/>
        </w:rPr>
        <w:t xml:space="preserve">Takano, A. P. C., Rybak, J., &amp; Veras, M. M. (2024). Bioindicators and human biomarkers as alternative approaches for cost-effective assessment of air pollution exposure. </w:t>
      </w:r>
      <w:r>
        <w:rPr>
          <w:rFonts w:ascii="Arial" w:eastAsia="Arial" w:hAnsi="Arial" w:cs="Arial"/>
          <w:i/>
          <w:iCs/>
          <w:color w:val="EE0000"/>
        </w:rPr>
        <w:t>Frontiers in Environmental Engineering</w:t>
      </w:r>
      <w:r>
        <w:rPr>
          <w:rFonts w:ascii="Arial" w:eastAsia="Arial" w:hAnsi="Arial" w:cs="Arial"/>
          <w:color w:val="EE0000"/>
        </w:rPr>
        <w:t xml:space="preserve">, </w:t>
      </w:r>
      <w:r>
        <w:rPr>
          <w:rFonts w:ascii="Arial" w:eastAsia="Arial" w:hAnsi="Arial" w:cs="Arial"/>
          <w:i/>
          <w:iCs/>
          <w:color w:val="EE0000"/>
        </w:rPr>
        <w:t>3</w:t>
      </w:r>
      <w:r>
        <w:rPr>
          <w:rFonts w:ascii="Arial" w:eastAsia="Arial" w:hAnsi="Arial" w:cs="Arial"/>
          <w:color w:val="EE0000"/>
        </w:rPr>
        <w:t>. https://doi.org/10.3389/fenve.2024.1346863</w:t>
      </w:r>
    </w:p>
    <w:p w14:paraId="0000016A" w14:textId="77777777" w:rsidR="004F5D47" w:rsidRDefault="00000000">
      <w:pPr>
        <w:ind w:hanging="480"/>
        <w:rPr>
          <w:rFonts w:ascii="Arial" w:eastAsia="Arial" w:hAnsi="Arial" w:cs="Arial"/>
          <w:color w:val="EE0000"/>
        </w:rPr>
      </w:pPr>
      <w:r>
        <w:rPr>
          <w:rFonts w:ascii="Arial" w:eastAsia="Arial" w:hAnsi="Arial" w:cs="Arial"/>
          <w:color w:val="EE0000"/>
        </w:rPr>
        <w:t xml:space="preserve">Thunis, P., Pederzoli, A., &amp; Pernigotti, D. (2012). Performance criteria to evaluate air quality modeling applications. </w:t>
      </w:r>
      <w:r>
        <w:rPr>
          <w:rFonts w:ascii="Arial" w:eastAsia="Arial" w:hAnsi="Arial" w:cs="Arial"/>
          <w:i/>
          <w:iCs/>
          <w:color w:val="EE0000"/>
        </w:rPr>
        <w:t>Atmospheric Environment</w:t>
      </w:r>
      <w:r>
        <w:rPr>
          <w:rFonts w:ascii="Arial" w:eastAsia="Arial" w:hAnsi="Arial" w:cs="Arial"/>
          <w:color w:val="EE0000"/>
        </w:rPr>
        <w:t xml:space="preserve">, </w:t>
      </w:r>
      <w:r>
        <w:rPr>
          <w:rFonts w:ascii="Arial" w:eastAsia="Arial" w:hAnsi="Arial" w:cs="Arial"/>
          <w:i/>
          <w:iCs/>
          <w:color w:val="EE0000"/>
        </w:rPr>
        <w:t>59</w:t>
      </w:r>
      <w:r>
        <w:rPr>
          <w:rFonts w:ascii="Arial" w:eastAsia="Arial" w:hAnsi="Arial" w:cs="Arial"/>
          <w:color w:val="EE0000"/>
        </w:rPr>
        <w:t>, 476–482. https://doi.org/10.1016/j.atmosenv.2012.05.043</w:t>
      </w:r>
    </w:p>
    <w:p w14:paraId="0000016B" w14:textId="77777777" w:rsidR="004F5D47" w:rsidRDefault="00000000">
      <w:pPr>
        <w:ind w:hanging="480"/>
        <w:rPr>
          <w:rFonts w:ascii="Arial" w:eastAsia="Arial" w:hAnsi="Arial" w:cs="Arial"/>
          <w:color w:val="EE0000"/>
        </w:rPr>
      </w:pPr>
      <w:r>
        <w:rPr>
          <w:rFonts w:ascii="Arial" w:eastAsia="Arial" w:hAnsi="Arial" w:cs="Arial"/>
          <w:color w:val="EE0000"/>
        </w:rPr>
        <w:t xml:space="preserve">Tribaudino, M., Solzi, M., Mantovani, L., Zaccara, P., &amp; Groppi, E. (2022). Magnetic particle monitoring on leaves in winter: a pilot study on a highly polluted location in the Po plain (Northern Italy). </w:t>
      </w:r>
      <w:r>
        <w:rPr>
          <w:rFonts w:ascii="Arial" w:eastAsia="Arial" w:hAnsi="Arial" w:cs="Arial"/>
          <w:i/>
          <w:iCs/>
          <w:color w:val="EE0000"/>
        </w:rPr>
        <w:t>Environmental Science and Pollution Research</w:t>
      </w:r>
      <w:r>
        <w:rPr>
          <w:rFonts w:ascii="Arial" w:eastAsia="Arial" w:hAnsi="Arial" w:cs="Arial"/>
          <w:color w:val="EE0000"/>
        </w:rPr>
        <w:t xml:space="preserve">, </w:t>
      </w:r>
      <w:r>
        <w:rPr>
          <w:rFonts w:ascii="Arial" w:eastAsia="Arial" w:hAnsi="Arial" w:cs="Arial"/>
          <w:i/>
          <w:iCs/>
          <w:color w:val="EE0000"/>
        </w:rPr>
        <w:t>29</w:t>
      </w:r>
      <w:r>
        <w:rPr>
          <w:rFonts w:ascii="Arial" w:eastAsia="Arial" w:hAnsi="Arial" w:cs="Arial"/>
          <w:color w:val="EE0000"/>
        </w:rPr>
        <w:t>(42), 63171–63181. https://doi.org/10.1007/s11356-022-20247-5</w:t>
      </w:r>
    </w:p>
    <w:p w14:paraId="0000016C" w14:textId="77777777" w:rsidR="004F5D47" w:rsidRDefault="00000000">
      <w:pPr>
        <w:spacing w:after="240"/>
        <w:jc w:val="both"/>
        <w:rPr>
          <w:rFonts w:ascii="Arial" w:eastAsia="Arial" w:hAnsi="Arial" w:cs="Arial"/>
        </w:rPr>
      </w:pPr>
      <w:r>
        <w:rPr>
          <w:rFonts w:ascii="Arial" w:eastAsia="Arial" w:hAnsi="Arial" w:cs="Arial"/>
          <w:color w:val="EE0000"/>
        </w:rPr>
        <w:t> </w:t>
      </w:r>
    </w:p>
    <w:p w14:paraId="0000016D" w14:textId="77777777" w:rsidR="004F5D47" w:rsidRDefault="004F5D47">
      <w:pPr>
        <w:spacing w:after="240"/>
        <w:jc w:val="both"/>
      </w:pPr>
    </w:p>
    <w:p w14:paraId="0000016E" w14:textId="77777777" w:rsidR="004F5D47" w:rsidRDefault="004F5D47">
      <w:pPr>
        <w:ind w:left="720"/>
        <w:rPr>
          <w:rFonts w:ascii="Arial" w:eastAsia="Arial" w:hAnsi="Arial" w:cs="Arial"/>
        </w:rPr>
      </w:pPr>
    </w:p>
    <w:p w14:paraId="0000016F" w14:textId="77777777" w:rsidR="004F5D47" w:rsidRDefault="004F5D47">
      <w:pPr>
        <w:ind w:left="720"/>
        <w:rPr>
          <w:rFonts w:ascii="Arial" w:eastAsia="Arial" w:hAnsi="Arial" w:cs="Arial"/>
        </w:rPr>
      </w:pPr>
    </w:p>
    <w:p w14:paraId="00000170" w14:textId="77777777" w:rsidR="004F5D47" w:rsidRDefault="004F5D47">
      <w:pPr>
        <w:ind w:left="720"/>
        <w:rPr>
          <w:rFonts w:ascii="Arial" w:eastAsia="Arial" w:hAnsi="Arial" w:cs="Arial"/>
        </w:rPr>
      </w:pPr>
    </w:p>
    <w:p w14:paraId="00000171" w14:textId="77777777" w:rsidR="004F5D47" w:rsidRDefault="004F5D47">
      <w:pPr>
        <w:ind w:left="720"/>
        <w:rPr>
          <w:rFonts w:ascii="Arial" w:eastAsia="Arial" w:hAnsi="Arial" w:cs="Arial"/>
        </w:rPr>
      </w:pPr>
    </w:p>
    <w:p w14:paraId="00000172" w14:textId="77777777" w:rsidR="004F5D47" w:rsidRDefault="004F5D47">
      <w:pPr>
        <w:ind w:left="720"/>
        <w:rPr>
          <w:rFonts w:ascii="Arial" w:eastAsia="Arial" w:hAnsi="Arial" w:cs="Arial"/>
        </w:rPr>
      </w:pPr>
    </w:p>
    <w:sectPr w:rsidR="004F5D47">
      <w:pgSz w:w="12240" w:h="15840"/>
      <w:pgMar w:top="1418" w:right="1701" w:bottom="1418" w:left="1701" w:header="709" w:footer="709"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ANA MILENA HERNANDEZ QUINCHARA" w:date="2026-03-16T15:37:00Z" w:initials="">
    <w:p w14:paraId="00000180"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Incluir por favor la información de la red colaborativa @microsensores@ambientebogota.gov.co</w:t>
      </w:r>
    </w:p>
    <w:p w14:paraId="00000181" w14:textId="77777777" w:rsidR="004F5D47"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_Assigned to microsensores@ambientebogota.gov.co_</w:t>
      </w:r>
    </w:p>
  </w:comment>
  <w:comment w:id="3" w:author="Fredy Escobar Diaz" w:date="2026-03-30T20:25:00Z" w:initials="">
    <w:p w14:paraId="00000182"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ajustado</w:t>
      </w:r>
    </w:p>
  </w:comment>
  <w:comment w:id="4" w:author="ANA MILENA HERNANDEZ QUINCHARA" w:date="2026-03-16T15:39:00Z" w:initials="">
    <w:p w14:paraId="0000017C"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Por favor incluir un resumen de las actividades realizadas en el periodo del informe respecto a la EPCI @sebastian.gomez@ambientebogota.gov.co a</w:t>
      </w:r>
    </w:p>
    <w:p w14:paraId="0000017D" w14:textId="77777777" w:rsidR="004F5D47"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_Assigned to sebastian.gomez@ambientebogota.gov.co_</w:t>
      </w:r>
    </w:p>
  </w:comment>
  <w:comment w:id="8" w:author="ANA MILENA HERNANDEZ QUINCHARA" w:date="2026-03-16T20:19:00Z" w:initials="">
    <w:p w14:paraId="00000179"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@sebastian.gomez@ambientebogota.gov.co por favor actualizar</w:t>
      </w:r>
    </w:p>
    <w:p w14:paraId="0000017A" w14:textId="77777777" w:rsidR="004F5D47"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_Assigned to sebastian.gomez@ambientebogota.gov.co_</w:t>
      </w:r>
    </w:p>
  </w:comment>
  <w:comment w:id="9" w:author="CESAR ALEJANDRO GENEY CELIS" w:date="2026-03-24T19:41:00Z" w:initials="">
    <w:p w14:paraId="0000017B"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@sebastian.gomez@ambientebogota.gov.co</w:t>
      </w:r>
    </w:p>
  </w:comment>
  <w:comment w:id="10" w:author="Sindy Acosta" w:date="2026-03-24T21:30:00Z" w:initials="">
    <w:p w14:paraId="00000173"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Quedo actualizado</w:t>
      </w:r>
    </w:p>
  </w:comment>
  <w:comment w:id="11" w:author="Sindy Acosta" w:date="2026-03-24T21:30:00Z" w:initials="">
    <w:p w14:paraId="00000174"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Quedo actualizado</w:t>
      </w:r>
    </w:p>
  </w:comment>
  <w:comment w:id="12" w:author="CESAR ALEJANDRO GENEY CELIS" w:date="2026-03-30T19:50:00Z" w:initials="">
    <w:p w14:paraId="0000017E"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@sebastian.gomez@ambientebogota.gov.co</w:t>
      </w:r>
    </w:p>
    <w:p w14:paraId="0000017F" w14:textId="77777777" w:rsidR="004F5D47"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_Assigned to sebastian.gomez@ambientebogota.gov.co_</w:t>
      </w:r>
    </w:p>
  </w:comment>
  <w:comment w:id="13" w:author="ANA MILENA HERNANDEZ QUINCHARA" w:date="2026-03-16T20:19:00Z" w:initials="">
    <w:p w14:paraId="00000175"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@microsensores@ambientebogota.gov.co por favor actualizar información</w:t>
      </w:r>
    </w:p>
    <w:p w14:paraId="00000176" w14:textId="77777777" w:rsidR="004F5D47"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_Assigned to microsensores@ambientebogota.gov.co_</w:t>
      </w:r>
    </w:p>
  </w:comment>
  <w:comment w:id="14" w:author="Red de microsensores" w:date="2026-03-16T20:33:00Z" w:initials="">
    <w:p w14:paraId="00000177"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@fredy.escobar@ambientebogota.gov.co</w:t>
      </w:r>
    </w:p>
  </w:comment>
  <w:comment w:id="15" w:author="Fredy Escobar Diaz" w:date="2026-03-30T20:18:00Z" w:initials="">
    <w:p w14:paraId="00000178" w14:textId="77777777" w:rsidR="004F5D47" w:rsidRDefault="004332E9">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ajustado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181" w15:done="0"/>
  <w15:commentEx w15:paraId="00000182" w15:paraIdParent="00000181" w15:done="0"/>
  <w15:commentEx w15:paraId="0000017D" w15:done="0"/>
  <w15:commentEx w15:paraId="0000017A" w15:done="0"/>
  <w15:commentEx w15:paraId="0000017B" w15:done="0"/>
  <w15:commentEx w15:paraId="00000173" w15:done="0"/>
  <w15:commentEx w15:paraId="00000174" w15:done="0"/>
  <w15:commentEx w15:paraId="0000017F" w15:done="0"/>
  <w15:commentEx w15:paraId="00000176" w15:done="0"/>
  <w15:commentEx w15:paraId="00000177" w15:paraIdParent="00000176" w15:done="0"/>
  <w15:commentEx w15:paraId="00000178" w15:paraIdParent="0000017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181" w16cid:durableId="00000181"/>
  <w16cid:commentId w16cid:paraId="00000182" w16cid:durableId="00000182"/>
  <w16cid:commentId w16cid:paraId="0000017D" w16cid:durableId="0000017D"/>
  <w16cid:commentId w16cid:paraId="0000017A" w16cid:durableId="0000017A"/>
  <w16cid:commentId w16cid:paraId="0000017B" w16cid:durableId="0000017B"/>
  <w16cid:commentId w16cid:paraId="00000173" w16cid:durableId="00000173"/>
  <w16cid:commentId w16cid:paraId="00000174" w16cid:durableId="00000174"/>
  <w16cid:commentId w16cid:paraId="0000017F" w16cid:durableId="0000017F"/>
  <w16cid:commentId w16cid:paraId="00000176" w16cid:durableId="00000176"/>
  <w16cid:commentId w16cid:paraId="00000177" w16cid:durableId="00000177"/>
  <w16cid:commentId w16cid:paraId="00000178" w16cid:durableId="00000178"/>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E091B1A8-C792-41CD-BB1F-4CFFB01AF947}"/>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67018F1-6F4A-46C0-A529-75A25E03469F}"/>
    <w:embedBold r:id="rId3" w:fontKey="{505B30F5-BDD4-4B84-B24C-3CEDEC30EED9}"/>
    <w:embedItalic r:id="rId4" w:fontKey="{28FD2A45-1413-48E3-98B8-177025E435DE}"/>
  </w:font>
  <w:font w:name="Arial">
    <w:panose1 w:val="020B0604020202020204"/>
    <w:charset w:val="00"/>
    <w:family w:val="swiss"/>
    <w:pitch w:val="variable"/>
    <w:sig w:usb0="E0002EFF" w:usb1="C000785B" w:usb2="00000009" w:usb3="00000000" w:csb0="000001FF" w:csb1="00000000"/>
  </w:font>
  <w:font w:name="Arial M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5" w:fontKey="{AB36702B-D57D-4109-A017-93555E98021C}"/>
  </w:font>
  <w:font w:name="Verdana">
    <w:panose1 w:val="020B0604030504040204"/>
    <w:charset w:val="00"/>
    <w:family w:val="swiss"/>
    <w:pitch w:val="variable"/>
    <w:sig w:usb0="A00006FF" w:usb1="4000205B" w:usb2="00000010" w:usb3="00000000" w:csb0="0000019F" w:csb1="00000000"/>
    <w:embedRegular r:id="rId6" w:fontKey="{590253D2-44BA-430D-A59C-2721DFEE4622}"/>
    <w:embedBold r:id="rId7" w:fontKey="{CBFFF230-CAD9-49B0-9705-73F3E6040FCC}"/>
  </w:font>
  <w:font w:name="Calibri Light">
    <w:panose1 w:val="020F0302020204030204"/>
    <w:charset w:val="00"/>
    <w:family w:val="swiss"/>
    <w:pitch w:val="variable"/>
    <w:sig w:usb0="E4002EFF" w:usb1="C200247B" w:usb2="00000009" w:usb3="00000000" w:csb0="000001FF" w:csb1="00000000"/>
    <w:embedRegular r:id="rId8" w:fontKey="{F4887CF9-F5D2-4940-9895-BBCEF45EA317}"/>
  </w:font>
  <w:font w:name="Georgia">
    <w:panose1 w:val="02040502050405020303"/>
    <w:charset w:val="00"/>
    <w:family w:val="roman"/>
    <w:pitch w:val="variable"/>
    <w:sig w:usb0="00000287" w:usb1="00000000" w:usb2="00000000" w:usb3="00000000" w:csb0="0000009F" w:csb1="00000000"/>
    <w:embedItalic r:id="rId9" w:fontKey="{6236311B-D6D9-4EEC-A0E4-6A68DC72DC86}"/>
  </w:font>
  <w:font w:name="Arial Unicode MS">
    <w:altName w:val="Arial"/>
    <w:panose1 w:val="020B0604020202020204"/>
    <w:charset w:val="00"/>
    <w:family w:val="auto"/>
    <w:pitch w:val="default"/>
  </w:font>
  <w:font w:name="Cambria Math">
    <w:panose1 w:val="02040503050406030204"/>
    <w:charset w:val="00"/>
    <w:family w:val="roman"/>
    <w:pitch w:val="variable"/>
    <w:sig w:usb0="E00006FF" w:usb1="420024FF" w:usb2="02000000" w:usb3="00000000" w:csb0="0000019F" w:csb1="00000000"/>
    <w:embedRegular r:id="rId10" w:fontKey="{9AC9C7D7-1DCC-41B7-9CC0-D2EAFF3EBA8C}"/>
  </w:font>
  <w:font w:name="Cambria">
    <w:panose1 w:val="02040503050406030204"/>
    <w:charset w:val="00"/>
    <w:family w:val="roman"/>
    <w:pitch w:val="variable"/>
    <w:sig w:usb0="E00006FF" w:usb1="420024FF" w:usb2="02000000" w:usb3="00000000" w:csb0="0000019F" w:csb1="00000000"/>
    <w:embedRegular r:id="rId11" w:fontKey="{532F7689-3756-489A-B642-7DC224B81327}"/>
    <w:embedBold r:id="rId12" w:fontKey="{6A8962CF-FD1D-47B2-897F-B65D967162A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6A6322"/>
    <w:multiLevelType w:val="multilevel"/>
    <w:tmpl w:val="A15A7A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FE77EE"/>
    <w:multiLevelType w:val="multilevel"/>
    <w:tmpl w:val="691CD9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6E3280B"/>
    <w:multiLevelType w:val="multilevel"/>
    <w:tmpl w:val="B7DAAF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96333A3"/>
    <w:multiLevelType w:val="multilevel"/>
    <w:tmpl w:val="890026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A125E41"/>
    <w:multiLevelType w:val="multilevel"/>
    <w:tmpl w:val="793C89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2477F13"/>
    <w:multiLevelType w:val="multilevel"/>
    <w:tmpl w:val="A998AA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2F77D73"/>
    <w:multiLevelType w:val="multilevel"/>
    <w:tmpl w:val="FE2C81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34C29F4"/>
    <w:multiLevelType w:val="multilevel"/>
    <w:tmpl w:val="7DCEC5C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3B236403"/>
    <w:multiLevelType w:val="multilevel"/>
    <w:tmpl w:val="3A18F5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3EDB1035"/>
    <w:multiLevelType w:val="multilevel"/>
    <w:tmpl w:val="F16AEF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A1426DD"/>
    <w:multiLevelType w:val="multilevel"/>
    <w:tmpl w:val="6B0C21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CAC5D12"/>
    <w:multiLevelType w:val="multilevel"/>
    <w:tmpl w:val="772653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6740734"/>
    <w:multiLevelType w:val="multilevel"/>
    <w:tmpl w:val="02246F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ED21217"/>
    <w:multiLevelType w:val="multilevel"/>
    <w:tmpl w:val="440036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60941572">
    <w:abstractNumId w:val="4"/>
  </w:num>
  <w:num w:numId="2" w16cid:durableId="936526560">
    <w:abstractNumId w:val="5"/>
  </w:num>
  <w:num w:numId="3" w16cid:durableId="842940141">
    <w:abstractNumId w:val="12"/>
  </w:num>
  <w:num w:numId="4" w16cid:durableId="1230731775">
    <w:abstractNumId w:val="0"/>
  </w:num>
  <w:num w:numId="5" w16cid:durableId="836727318">
    <w:abstractNumId w:val="11"/>
  </w:num>
  <w:num w:numId="6" w16cid:durableId="1328286632">
    <w:abstractNumId w:val="7"/>
  </w:num>
  <w:num w:numId="7" w16cid:durableId="761225969">
    <w:abstractNumId w:val="2"/>
  </w:num>
  <w:num w:numId="8" w16cid:durableId="143543854">
    <w:abstractNumId w:val="8"/>
  </w:num>
  <w:num w:numId="9" w16cid:durableId="1100293287">
    <w:abstractNumId w:val="3"/>
  </w:num>
  <w:num w:numId="10" w16cid:durableId="637148889">
    <w:abstractNumId w:val="9"/>
  </w:num>
  <w:num w:numId="11" w16cid:durableId="1691837089">
    <w:abstractNumId w:val="6"/>
  </w:num>
  <w:num w:numId="12" w16cid:durableId="254753576">
    <w:abstractNumId w:val="1"/>
  </w:num>
  <w:num w:numId="13" w16cid:durableId="939870103">
    <w:abstractNumId w:val="10"/>
  </w:num>
  <w:num w:numId="14" w16cid:durableId="3088756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5D47"/>
    <w:rsid w:val="004332E9"/>
    <w:rsid w:val="004F5D47"/>
    <w:rsid w:val="00DB68D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F2DD25F-355C-4E9C-BDBB-7A56A971C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rFonts w:ascii="Arial" w:eastAsia="Arial" w:hAnsi="Arial" w:cs="Arial"/>
      <w:b/>
      <w:bCs/>
    </w:rPr>
  </w:style>
  <w:style w:type="paragraph" w:styleId="Ttulo2">
    <w:name w:val="heading 2"/>
    <w:basedOn w:val="Normal"/>
    <w:next w:val="Normal"/>
    <w:uiPriority w:val="9"/>
    <w:unhideWhenUsed/>
    <w:qFormat/>
    <w:pPr>
      <w:keepNext/>
      <w:keepLines/>
      <w:spacing w:before="360" w:after="80"/>
      <w:outlineLvl w:val="1"/>
    </w:pPr>
    <w:rPr>
      <w:rFonts w:ascii="Arial" w:eastAsia="Arial" w:hAnsi="Arial" w:cs="Arial"/>
      <w:b/>
      <w:bCs/>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uiPriority w:val="2"/>
    <w:qFormat/>
    <w:tblPr>
      <w:tblCellMar>
        <w:top w:w="0" w:type="dxa"/>
        <w:left w:w="0" w:type="dxa"/>
        <w:bottom w:w="0" w:type="dxa"/>
        <w:right w:w="0" w:type="dxa"/>
      </w:tblCellMar>
    </w:tblPr>
  </w:style>
  <w:style w:type="paragraph" w:styleId="Encabezado">
    <w:name w:val="header"/>
    <w:basedOn w:val="Normal"/>
    <w:link w:val="EncabezadoCar"/>
    <w:uiPriority w:val="99"/>
    <w:unhideWhenUsed/>
    <w:rsid w:val="00D5228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5228E"/>
  </w:style>
  <w:style w:type="paragraph" w:styleId="Piedepgina">
    <w:name w:val="footer"/>
    <w:basedOn w:val="Normal"/>
    <w:link w:val="PiedepginaCar"/>
    <w:uiPriority w:val="99"/>
    <w:unhideWhenUsed/>
    <w:rsid w:val="00D5228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5228E"/>
  </w:style>
  <w:style w:type="character" w:styleId="Hipervnculo">
    <w:name w:val="Hyperlink"/>
    <w:uiPriority w:val="99"/>
    <w:unhideWhenUsed/>
    <w:rsid w:val="00872A8C"/>
    <w:rPr>
      <w:color w:val="0000FF"/>
      <w:u w:val="single"/>
    </w:rPr>
  </w:style>
  <w:style w:type="paragraph" w:styleId="Prrafodelista">
    <w:name w:val="List Paragraph"/>
    <w:basedOn w:val="Normal"/>
    <w:uiPriority w:val="1"/>
    <w:qFormat/>
    <w:rsid w:val="00872A8C"/>
    <w:pPr>
      <w:spacing w:after="0" w:line="240" w:lineRule="auto"/>
      <w:ind w:left="720"/>
      <w:contextualSpacing/>
    </w:pPr>
    <w:rPr>
      <w:rFonts w:ascii="Times New Roman" w:eastAsia="Times New Roman" w:hAnsi="Times New Roman" w:cs="Times New Roman"/>
      <w:sz w:val="24"/>
      <w:szCs w:val="24"/>
      <w:lang w:val="es-ES_tradnl" w:eastAsia="es-ES"/>
    </w:rPr>
  </w:style>
  <w:style w:type="paragraph" w:customStyle="1" w:styleId="Default">
    <w:name w:val="Default"/>
    <w:rsid w:val="00872A8C"/>
    <w:pPr>
      <w:autoSpaceDE w:val="0"/>
      <w:autoSpaceDN w:val="0"/>
      <w:adjustRightInd w:val="0"/>
      <w:spacing w:after="0" w:line="240" w:lineRule="auto"/>
    </w:pPr>
    <w:rPr>
      <w:rFonts w:ascii="Arial" w:hAnsi="Arial" w:cs="Arial"/>
      <w:color w:val="000000"/>
      <w:sz w:val="24"/>
      <w:szCs w:val="24"/>
      <w:lang w:val="es-ES"/>
    </w:rPr>
  </w:style>
  <w:style w:type="paragraph" w:customStyle="1" w:styleId="TableParagraph">
    <w:name w:val="Table Paragraph"/>
    <w:basedOn w:val="Normal"/>
    <w:uiPriority w:val="1"/>
    <w:qFormat/>
    <w:rsid w:val="00872A8C"/>
    <w:pPr>
      <w:widowControl w:val="0"/>
      <w:autoSpaceDE w:val="0"/>
      <w:autoSpaceDN w:val="0"/>
      <w:spacing w:after="0" w:line="240" w:lineRule="auto"/>
      <w:ind w:left="108"/>
    </w:pPr>
    <w:rPr>
      <w:rFonts w:ascii="Arial MT" w:eastAsia="Arial MT" w:hAnsi="Arial MT" w:cs="Arial MT"/>
      <w:lang w:val="es-ES"/>
    </w:rPr>
  </w:style>
  <w:style w:type="table" w:styleId="Tablaconcuadrcula">
    <w:name w:val="Table Grid"/>
    <w:basedOn w:val="Tablanormal"/>
    <w:uiPriority w:val="39"/>
    <w:rsid w:val="00872A8C"/>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0">
    <w:name w:val="Table Normal_0"/>
    <w:uiPriority w:val="2"/>
    <w:semiHidden/>
    <w:qFormat/>
    <w:rsid w:val="00872A8C"/>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styleId="Descripcin">
    <w:name w:val="caption"/>
    <w:basedOn w:val="Normal"/>
    <w:next w:val="Normal"/>
    <w:uiPriority w:val="35"/>
    <w:unhideWhenUsed/>
    <w:qFormat/>
    <w:rsid w:val="00E330DA"/>
    <w:pPr>
      <w:spacing w:after="200" w:line="240" w:lineRule="auto"/>
    </w:pPr>
    <w:rPr>
      <w:i/>
      <w:iCs/>
      <w:color w:val="44546A" w:themeColor="text2"/>
      <w:sz w:val="18"/>
      <w:szCs w:val="18"/>
    </w:rPr>
  </w:style>
  <w:style w:type="character" w:customStyle="1" w:styleId="Mencinsinresolver1">
    <w:name w:val="Mención sin resolver1"/>
    <w:basedOn w:val="Fuentedeprrafopredeter"/>
    <w:uiPriority w:val="99"/>
    <w:semiHidden/>
    <w:unhideWhenUsed/>
    <w:rsid w:val="00CE2437"/>
    <w:rPr>
      <w:color w:val="605E5C"/>
      <w:shd w:val="clear" w:color="auto" w:fill="E1DFDD"/>
    </w:rPr>
  </w:style>
  <w:style w:type="paragraph" w:styleId="Sinespaciado">
    <w:name w:val="No Spacing"/>
    <w:uiPriority w:val="1"/>
    <w:qFormat/>
    <w:rsid w:val="000024F3"/>
    <w:pPr>
      <w:spacing w:after="0" w:line="240" w:lineRule="auto"/>
    </w:pPr>
  </w:style>
  <w:style w:type="table" w:customStyle="1" w:styleId="a">
    <w:basedOn w:val="TableNormal5"/>
    <w:tblPr>
      <w:tblStyleRowBandSize w:val="1"/>
      <w:tblStyleColBandSize w:val="1"/>
      <w:tblCellMar>
        <w:top w:w="100" w:type="dxa"/>
        <w:left w:w="100" w:type="dxa"/>
        <w:bottom w:w="100" w:type="dxa"/>
        <w:right w:w="100" w:type="dxa"/>
      </w:tblCellMar>
    </w:tblPr>
  </w:style>
  <w:style w:type="paragraph" w:styleId="Textodeglobo">
    <w:name w:val="Balloon Text"/>
    <w:basedOn w:val="Normal"/>
    <w:link w:val="TextodegloboCar"/>
    <w:uiPriority w:val="99"/>
    <w:semiHidden/>
    <w:unhideWhenUsed/>
    <w:rsid w:val="00C43BC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43BCC"/>
    <w:rPr>
      <w:rFonts w:ascii="Segoe UI" w:hAnsi="Segoe UI" w:cs="Segoe UI"/>
      <w:sz w:val="18"/>
      <w:szCs w:val="18"/>
    </w:rPr>
  </w:style>
  <w:style w:type="table" w:customStyle="1" w:styleId="a0">
    <w:basedOn w:val="TableNormal5"/>
    <w:tblPr>
      <w:tblStyleRowBandSize w:val="1"/>
      <w:tblStyleColBandSize w:val="1"/>
      <w:tblCellMar>
        <w:top w:w="100" w:type="dxa"/>
        <w:left w:w="100" w:type="dxa"/>
        <w:bottom w:w="100" w:type="dxa"/>
        <w:right w:w="100" w:type="dxa"/>
      </w:tblCellMar>
    </w:tblPr>
  </w:style>
  <w:style w:type="paragraph" w:styleId="Textonotapie">
    <w:name w:val="footnote text"/>
    <w:basedOn w:val="Normal"/>
    <w:link w:val="TextonotapieCar"/>
    <w:uiPriority w:val="99"/>
    <w:semiHidden/>
    <w:unhideWhenUsed/>
    <w:rsid w:val="00B0684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B06843"/>
    <w:rPr>
      <w:sz w:val="20"/>
      <w:szCs w:val="20"/>
    </w:rPr>
  </w:style>
  <w:style w:type="character" w:styleId="Refdenotaalpie">
    <w:name w:val="footnote reference"/>
    <w:basedOn w:val="Fuentedeprrafopredeter"/>
    <w:uiPriority w:val="99"/>
    <w:semiHidden/>
    <w:unhideWhenUsed/>
    <w:rsid w:val="00B06843"/>
    <w:rPr>
      <w:vertAlign w:val="superscript"/>
    </w:rPr>
  </w:style>
  <w:style w:type="table" w:customStyle="1" w:styleId="a1">
    <w:basedOn w:val="TableNormal4"/>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2">
    <w:basedOn w:val="TableNormal4"/>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3">
    <w:basedOn w:val="TableNormal4"/>
    <w:tblPr>
      <w:tblStyleRowBandSize w:val="1"/>
      <w:tblStyleColBandSize w:val="1"/>
      <w:tblCellMar>
        <w:top w:w="100" w:type="dxa"/>
        <w:left w:w="100" w:type="dxa"/>
        <w:bottom w:w="100" w:type="dxa"/>
        <w:right w:w="100" w:type="dxa"/>
      </w:tblCellMar>
    </w:tblPr>
  </w:style>
  <w:style w:type="table" w:customStyle="1" w:styleId="a4">
    <w:basedOn w:val="TableNormal4"/>
    <w:tblPr>
      <w:tblStyleRowBandSize w:val="1"/>
      <w:tblStyleColBandSize w:val="1"/>
    </w:tblPr>
  </w:style>
  <w:style w:type="table" w:customStyle="1" w:styleId="a5">
    <w:basedOn w:val="TableNormal4"/>
    <w:tblPr>
      <w:tblStyleRowBandSize w:val="1"/>
      <w:tblStyleColBandSize w:val="1"/>
      <w:tblCellMar>
        <w:top w:w="100" w:type="dxa"/>
        <w:left w:w="100" w:type="dxa"/>
        <w:bottom w:w="100" w:type="dxa"/>
        <w:right w:w="100" w:type="dxa"/>
      </w:tblCellMar>
    </w:tblPr>
  </w:style>
  <w:style w:type="table" w:customStyle="1" w:styleId="a6">
    <w:basedOn w:val="TableNormal4"/>
    <w:tblPr>
      <w:tblStyleRowBandSize w:val="1"/>
      <w:tblStyleColBandSize w:val="1"/>
      <w:tblCellMar>
        <w:top w:w="100" w:type="dxa"/>
        <w:left w:w="100" w:type="dxa"/>
        <w:bottom w:w="100" w:type="dxa"/>
        <w:right w:w="100" w:type="dxa"/>
      </w:tblCellMar>
    </w:tblPr>
  </w:style>
  <w:style w:type="table" w:customStyle="1" w:styleId="a7">
    <w:basedOn w:val="TableNormal4"/>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8">
    <w:basedOn w:val="TableNormal4"/>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9">
    <w:basedOn w:val="TableNormal4"/>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a">
    <w:basedOn w:val="TableNormal3"/>
    <w:pPr>
      <w:spacing w:after="0" w:line="240" w:lineRule="auto"/>
    </w:pPr>
    <w:rPr>
      <w:rFonts w:ascii="Times New Roman" w:eastAsia="Times New Roman" w:hAnsi="Times New Roman" w:cs="Times New Roman"/>
      <w:sz w:val="20"/>
      <w:szCs w:val="20"/>
    </w:rPr>
    <w:tblPr>
      <w:tblStyleRowBandSize w:val="1"/>
      <w:tblStyleColBandSize w:val="1"/>
      <w:tblCellMar>
        <w:top w:w="100" w:type="dxa"/>
        <w:left w:w="108" w:type="dxa"/>
        <w:bottom w:w="100" w:type="dxa"/>
        <w:right w:w="108" w:type="dxa"/>
      </w:tblCellMar>
    </w:tblPr>
  </w:style>
  <w:style w:type="table" w:customStyle="1" w:styleId="ab">
    <w:basedOn w:val="TableNormal3"/>
    <w:pPr>
      <w:spacing w:after="0" w:line="240" w:lineRule="auto"/>
    </w:pPr>
    <w:rPr>
      <w:rFonts w:ascii="Times New Roman" w:eastAsia="Times New Roman" w:hAnsi="Times New Roman" w:cs="Times New Roman"/>
      <w:sz w:val="20"/>
      <w:szCs w:val="20"/>
    </w:rPr>
    <w:tblPr>
      <w:tblStyleRowBandSize w:val="1"/>
      <w:tblStyleColBandSize w:val="1"/>
      <w:tblCellMar>
        <w:top w:w="100" w:type="dxa"/>
        <w:left w:w="108" w:type="dxa"/>
        <w:bottom w:w="100" w:type="dxa"/>
        <w:right w:w="108" w:type="dxa"/>
      </w:tblCellMar>
    </w:tblPr>
  </w:style>
  <w:style w:type="table" w:customStyle="1" w:styleId="ac">
    <w:basedOn w:val="TableNormal3"/>
    <w:pPr>
      <w:spacing w:after="0" w:line="240" w:lineRule="auto"/>
    </w:pPr>
    <w:rPr>
      <w:rFonts w:ascii="Times New Roman" w:eastAsia="Times New Roman" w:hAnsi="Times New Roman" w:cs="Times New Roman"/>
      <w:sz w:val="20"/>
      <w:szCs w:val="20"/>
    </w:rPr>
    <w:tblPr>
      <w:tblStyleRowBandSize w:val="1"/>
      <w:tblStyleColBandSize w:val="1"/>
      <w:tblCellMar>
        <w:top w:w="100" w:type="dxa"/>
        <w:left w:w="108" w:type="dxa"/>
        <w:bottom w:w="100" w:type="dxa"/>
        <w:right w:w="108" w:type="dxa"/>
      </w:tblCellMar>
    </w:tblPr>
  </w:style>
  <w:style w:type="table" w:customStyle="1" w:styleId="ad">
    <w:basedOn w:val="TableNormal3"/>
    <w:rPr>
      <w:rFonts w:ascii="Arial" w:eastAsia="Arial" w:hAnsi="Arial" w:cs="Arial"/>
    </w:rPr>
    <w:tblPr>
      <w:tblStyleRowBandSize w:val="1"/>
      <w:tblStyleColBandSize w:val="1"/>
      <w:tblCellMar>
        <w:top w:w="100" w:type="dxa"/>
        <w:left w:w="70" w:type="dxa"/>
        <w:bottom w:w="100" w:type="dxa"/>
        <w:right w:w="70" w:type="dxa"/>
      </w:tblCellMar>
    </w:tblPr>
  </w:style>
  <w:style w:type="table" w:customStyle="1" w:styleId="ae">
    <w:basedOn w:val="TableNormal3"/>
    <w:pPr>
      <w:spacing w:after="0" w:line="240" w:lineRule="auto"/>
    </w:pPr>
    <w:rPr>
      <w:rFonts w:ascii="Times New Roman" w:eastAsia="Times New Roman" w:hAnsi="Times New Roman" w:cs="Times New Roman"/>
      <w:sz w:val="20"/>
      <w:szCs w:val="20"/>
    </w:rPr>
    <w:tblPr>
      <w:tblStyleRowBandSize w:val="1"/>
      <w:tblStyleColBandSize w:val="1"/>
      <w:tblCellMar>
        <w:top w:w="100" w:type="dxa"/>
        <w:left w:w="108" w:type="dxa"/>
        <w:bottom w:w="100" w:type="dxa"/>
        <w:right w:w="108" w:type="dxa"/>
      </w:tblCellMar>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sz w:val="20"/>
      <w:szCs w:val="20"/>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link w:val="Textocomentario"/>
    <w:uiPriority w:val="99"/>
    <w:rPr>
      <w:sz w:val="20"/>
      <w:szCs w:val="20"/>
    </w:rPr>
  </w:style>
  <w:style w:type="paragraph" w:styleId="NormalWeb">
    <w:name w:val="Normal (Web)"/>
    <w:basedOn w:val="Normal"/>
    <w:uiPriority w:val="99"/>
    <w:semiHidden/>
    <w:unhideWhenUsed/>
    <w:rsid w:val="00186B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ulo3">
    <w:name w:val="Titulo 3"/>
    <w:basedOn w:val="Normal"/>
    <w:link w:val="Titulo3Car"/>
    <w:qFormat/>
    <w:rsid w:val="0075064C"/>
    <w:pPr>
      <w:spacing w:after="0" w:line="240" w:lineRule="auto"/>
      <w:jc w:val="both"/>
    </w:pPr>
    <w:rPr>
      <w:rFonts w:ascii="Verdana" w:eastAsia="Verdana" w:hAnsi="Verdana" w:cs="Verdana"/>
      <w:b/>
      <w:sz w:val="24"/>
      <w:szCs w:val="24"/>
    </w:rPr>
  </w:style>
  <w:style w:type="character" w:customStyle="1" w:styleId="Titulo3Car">
    <w:name w:val="Titulo 3 Car"/>
    <w:basedOn w:val="Fuentedeprrafopredeter"/>
    <w:link w:val="Titulo3"/>
    <w:rsid w:val="0075064C"/>
    <w:rPr>
      <w:rFonts w:ascii="Verdana" w:eastAsia="Verdana" w:hAnsi="Verdana" w:cs="Verdana"/>
      <w:b/>
      <w:sz w:val="24"/>
      <w:szCs w:val="24"/>
    </w:rPr>
  </w:style>
  <w:style w:type="table" w:customStyle="1" w:styleId="af">
    <w:basedOn w:val="TableNormal2"/>
    <w:pPr>
      <w:spacing w:after="0" w:line="240" w:lineRule="auto"/>
    </w:pPr>
    <w:rPr>
      <w:rFonts w:ascii="Times New Roman" w:eastAsia="Times New Roman" w:hAnsi="Times New Roman" w:cs="Times New Roman"/>
      <w:sz w:val="20"/>
      <w:szCs w:val="20"/>
    </w:rPr>
    <w:tblPr>
      <w:tblStyleRowBandSize w:val="1"/>
      <w:tblStyleColBandSize w:val="1"/>
      <w:tblCellMar>
        <w:top w:w="100" w:type="dxa"/>
        <w:left w:w="108" w:type="dxa"/>
        <w:bottom w:w="100" w:type="dxa"/>
        <w:right w:w="108" w:type="dxa"/>
      </w:tblCellMar>
    </w:tblPr>
  </w:style>
  <w:style w:type="table" w:customStyle="1" w:styleId="af0">
    <w:basedOn w:val="TableNormal2"/>
    <w:pPr>
      <w:spacing w:after="0" w:line="240" w:lineRule="auto"/>
    </w:pPr>
    <w:rPr>
      <w:rFonts w:ascii="Times New Roman" w:eastAsia="Times New Roman" w:hAnsi="Times New Roman" w:cs="Times New Roman"/>
      <w:sz w:val="20"/>
      <w:szCs w:val="20"/>
    </w:rPr>
    <w:tblPr>
      <w:tblStyleRowBandSize w:val="1"/>
      <w:tblStyleColBandSize w:val="1"/>
      <w:tblCellMar>
        <w:top w:w="100" w:type="dxa"/>
        <w:left w:w="108" w:type="dxa"/>
        <w:bottom w:w="100" w:type="dxa"/>
        <w:right w:w="108" w:type="dxa"/>
      </w:tblCellMar>
    </w:tblPr>
  </w:style>
  <w:style w:type="table" w:customStyle="1" w:styleId="af1">
    <w:basedOn w:val="TableNormal2"/>
    <w:tblPr>
      <w:tblStyleRowBandSize w:val="1"/>
      <w:tblStyleColBandSize w:val="1"/>
      <w:tblCellMar>
        <w:top w:w="15" w:type="dxa"/>
        <w:left w:w="15" w:type="dxa"/>
        <w:bottom w:w="15" w:type="dxa"/>
        <w:right w:w="15" w:type="dxa"/>
      </w:tblCellMar>
    </w:tblPr>
  </w:style>
  <w:style w:type="table" w:customStyle="1" w:styleId="af2">
    <w:basedOn w:val="TableNormal2"/>
    <w:pPr>
      <w:spacing w:after="0" w:line="240" w:lineRule="auto"/>
    </w:pPr>
    <w:rPr>
      <w:rFonts w:ascii="Times New Roman" w:eastAsia="Times New Roman" w:hAnsi="Times New Roman" w:cs="Times New Roman"/>
      <w:sz w:val="20"/>
      <w:szCs w:val="20"/>
    </w:rPr>
    <w:tblPr>
      <w:tblStyleRowBandSize w:val="1"/>
      <w:tblStyleColBandSize w:val="1"/>
      <w:tblCellMar>
        <w:top w:w="100" w:type="dxa"/>
        <w:left w:w="108" w:type="dxa"/>
        <w:bottom w:w="100" w:type="dxa"/>
        <w:right w:w="108" w:type="dxa"/>
      </w:tblCellMar>
    </w:tblPr>
  </w:style>
  <w:style w:type="table" w:customStyle="1" w:styleId="af3">
    <w:basedOn w:val="TableNormal2"/>
    <w:pPr>
      <w:spacing w:after="0" w:line="240" w:lineRule="auto"/>
    </w:pPr>
    <w:rPr>
      <w:rFonts w:ascii="Times New Roman" w:eastAsia="Times New Roman" w:hAnsi="Times New Roman" w:cs="Times New Roman"/>
      <w:sz w:val="20"/>
      <w:szCs w:val="20"/>
    </w:rPr>
    <w:tblPr>
      <w:tblStyleRowBandSize w:val="1"/>
      <w:tblStyleColBandSize w:val="1"/>
      <w:tblCellMar>
        <w:top w:w="100" w:type="dxa"/>
        <w:left w:w="108" w:type="dxa"/>
        <w:bottom w:w="100" w:type="dxa"/>
        <w:right w:w="108" w:type="dxa"/>
      </w:tblCellMar>
    </w:tblPr>
  </w:style>
  <w:style w:type="table" w:customStyle="1" w:styleId="af4">
    <w:basedOn w:val="TableNormal2"/>
    <w:pPr>
      <w:spacing w:after="0" w:line="240" w:lineRule="auto"/>
    </w:pPr>
    <w:rPr>
      <w:rFonts w:ascii="Times New Roman" w:eastAsia="Times New Roman" w:hAnsi="Times New Roman" w:cs="Times New Roman"/>
      <w:sz w:val="20"/>
      <w:szCs w:val="20"/>
    </w:rPr>
    <w:tblPr>
      <w:tblStyleRowBandSize w:val="1"/>
      <w:tblStyleColBandSize w:val="1"/>
      <w:tblCellMar>
        <w:top w:w="100" w:type="dxa"/>
        <w:left w:w="108" w:type="dxa"/>
        <w:bottom w:w="100" w:type="dxa"/>
        <w:right w:w="108" w:type="dxa"/>
      </w:tblCellMar>
    </w:tblPr>
  </w:style>
  <w:style w:type="character" w:customStyle="1" w:styleId="Ttulo1Car">
    <w:name w:val="Título 1 Car"/>
    <w:basedOn w:val="Fuentedeprrafopredeter"/>
    <w:uiPriority w:val="1"/>
    <w:rsid w:val="00501AB1"/>
    <w:rPr>
      <w:rFonts w:ascii="Arial" w:hAnsi="Arial"/>
      <w:b/>
      <w:szCs w:val="48"/>
    </w:rPr>
  </w:style>
  <w:style w:type="paragraph" w:styleId="Textoindependiente">
    <w:name w:val="Body Text"/>
    <w:basedOn w:val="Normal"/>
    <w:link w:val="TextoindependienteCar"/>
    <w:uiPriority w:val="1"/>
    <w:qFormat/>
    <w:rsid w:val="00ED046E"/>
    <w:pPr>
      <w:widowControl w:val="0"/>
      <w:autoSpaceDE w:val="0"/>
      <w:autoSpaceDN w:val="0"/>
      <w:spacing w:after="0" w:line="240" w:lineRule="auto"/>
    </w:pPr>
    <w:rPr>
      <w:rFonts w:ascii="Verdana" w:eastAsia="Verdana" w:hAnsi="Verdana" w:cs="Verdana"/>
      <w:sz w:val="24"/>
      <w:szCs w:val="24"/>
      <w:lang w:val="es-ES" w:eastAsia="en-US"/>
    </w:rPr>
  </w:style>
  <w:style w:type="character" w:customStyle="1" w:styleId="TextoindependienteCar">
    <w:name w:val="Texto independiente Car"/>
    <w:basedOn w:val="Fuentedeprrafopredeter"/>
    <w:link w:val="Textoindependiente"/>
    <w:uiPriority w:val="1"/>
    <w:rsid w:val="00ED046E"/>
    <w:rPr>
      <w:rFonts w:ascii="Verdana" w:eastAsia="Verdana" w:hAnsi="Verdana" w:cs="Verdana"/>
      <w:sz w:val="24"/>
      <w:szCs w:val="24"/>
      <w:lang w:val="es-ES" w:eastAsia="en-US"/>
    </w:rPr>
  </w:style>
  <w:style w:type="character" w:customStyle="1" w:styleId="TtuloCar">
    <w:name w:val="Título Car"/>
    <w:basedOn w:val="Fuentedeprrafopredeter"/>
    <w:uiPriority w:val="1"/>
    <w:rsid w:val="00ED046E"/>
    <w:rPr>
      <w:b/>
      <w:sz w:val="72"/>
      <w:szCs w:val="72"/>
    </w:rPr>
  </w:style>
  <w:style w:type="paragraph" w:styleId="TtuloTDC">
    <w:name w:val="TOC Heading"/>
    <w:next w:val="Normal"/>
    <w:uiPriority w:val="39"/>
    <w:unhideWhenUsed/>
    <w:qFormat/>
    <w:rsid w:val="00501AB1"/>
    <w:pPr>
      <w:spacing w:before="240" w:after="0"/>
    </w:pPr>
    <w:rPr>
      <w:rFonts w:asciiTheme="majorHAnsi" w:eastAsiaTheme="majorEastAsia" w:hAnsiTheme="majorHAnsi" w:cstheme="majorBidi"/>
      <w:color w:val="2E74B5" w:themeColor="accent1" w:themeShade="BF"/>
      <w:szCs w:val="32"/>
    </w:rPr>
  </w:style>
  <w:style w:type="paragraph" w:styleId="TDC1">
    <w:name w:val="toc 1"/>
    <w:basedOn w:val="Normal"/>
    <w:next w:val="Normal"/>
    <w:autoRedefine/>
    <w:uiPriority w:val="39"/>
    <w:unhideWhenUsed/>
    <w:rsid w:val="00501AB1"/>
    <w:pPr>
      <w:spacing w:after="100"/>
    </w:pPr>
  </w:style>
  <w:style w:type="table" w:customStyle="1" w:styleId="af5">
    <w:basedOn w:val="TableNormal1"/>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6">
    <w:basedOn w:val="TableNormal1"/>
    <w:tblPr>
      <w:tblStyleRowBandSize w:val="1"/>
      <w:tblStyleColBandSize w:val="1"/>
      <w:tblCellMar>
        <w:top w:w="100" w:type="dxa"/>
        <w:left w:w="100" w:type="dxa"/>
        <w:bottom w:w="100" w:type="dxa"/>
        <w:right w:w="100" w:type="dxa"/>
      </w:tblCellMar>
    </w:tblPr>
  </w:style>
  <w:style w:type="character" w:styleId="Mencinsinresolver">
    <w:name w:val="Unresolved Mention"/>
    <w:basedOn w:val="Fuentedeprrafopredeter"/>
    <w:uiPriority w:val="99"/>
    <w:semiHidden/>
    <w:unhideWhenUsed/>
    <w:rsid w:val="001268A3"/>
    <w:rPr>
      <w:color w:val="605E5C"/>
      <w:shd w:val="clear" w:color="auto" w:fill="E1DFDD"/>
    </w:rPr>
  </w:style>
  <w:style w:type="character" w:styleId="Textodelmarcadordeposicin">
    <w:name w:val="Placeholder Text"/>
    <w:basedOn w:val="Fuentedeprrafopredeter"/>
    <w:uiPriority w:val="99"/>
    <w:semiHidden/>
    <w:rsid w:val="001268A3"/>
    <w:rPr>
      <w:color w:val="666666"/>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7">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6.png"/><Relationship Id="rId26" Type="http://schemas.openxmlformats.org/officeDocument/2006/relationships/hyperlink" Target="https://doi.org/10.25100/rc.v24i2.10528" TargetMode="External"/><Relationship Id="rId3" Type="http://schemas.openxmlformats.org/officeDocument/2006/relationships/styles" Target="styles.xml"/><Relationship Id="rId21" Type="http://schemas.openxmlformats.org/officeDocument/2006/relationships/image" Target="media/image7.png"/><Relationship Id="rId12" Type="http://schemas.microsoft.com/office/2011/relationships/commentsExtended" Target="commentsExtended.xml"/><Relationship Id="rId17" Type="http://schemas.openxmlformats.org/officeDocument/2006/relationships/image" Target="media/image5.png"/><Relationship Id="rId25" Type="http://schemas.openxmlformats.org/officeDocument/2006/relationships/hyperlink" Target="http://hdl.handle.net/11407/3450"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saludambiental.saludcapital.gov.co/aire_documentos" TargetMode="External"/><Relationship Id="rId29" Type="http://schemas.openxmlformats.org/officeDocument/2006/relationships/fontTable" Target="fontTable.xml"/><Relationship Id="rId1" Type="http://schemas.openxmlformats.org/officeDocument/2006/relationships/customXml" Target="../customXml/item1.xml"/><Relationship Id="rId11" Type="http://schemas.openxmlformats.org/officeDocument/2006/relationships/comments" Target="comments.xml"/><Relationship Id="rId24" Type="http://schemas.openxmlformats.org/officeDocument/2006/relationships/hyperlink" Target="http://hdl.handle.net/11407/3450"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doi.org/10.51641/bioetnia.v9i2.92" TargetMode="External"/><Relationship Id="rId28" Type="http://schemas.openxmlformats.org/officeDocument/2006/relationships/hyperlink" Target="http://hdl.handle.net/20.500.11912/11491" TargetMode="External"/><Relationship Id="rId10" Type="http://schemas.openxmlformats.org/officeDocument/2006/relationships/image" Target="media/image1.png"/><Relationship Id="rId19" Type="http://schemas.openxmlformats.org/officeDocument/2006/relationships/hyperlink" Target="https://aulavirtual.saludcapital.gov.co/sicap/course/view.php?id=540" TargetMode="External"/><Relationship Id="rId4" Type="http://schemas.openxmlformats.org/officeDocument/2006/relationships/settings" Target="settings.xml"/><Relationship Id="rId9" Type="http://schemas.openxmlformats.org/officeDocument/2006/relationships/image" Target="media/image9.png"/><Relationship Id="rId14" Type="http://schemas.openxmlformats.org/officeDocument/2006/relationships/image" Target="media/image2.png"/><Relationship Id="rId22" Type="http://schemas.openxmlformats.org/officeDocument/2006/relationships/hyperlink" Target="https://doi.org/10.51641/bioetnia.v9i2.92" TargetMode="External"/><Relationship Id="rId27" Type="http://schemas.openxmlformats.org/officeDocument/2006/relationships/hyperlink" Target="https://doi.org/10.25100/rc.v24i2.10528" TargetMode="Externa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ldDjMF+CT3PXWEinL00yOF7UJA==">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8588</Words>
  <Characters>47240</Characters>
  <Application>Microsoft Office Word</Application>
  <DocSecurity>0</DocSecurity>
  <Lines>393</Lines>
  <Paragraphs>111</Paragraphs>
  <ScaleCrop>false</ScaleCrop>
  <Company/>
  <LinksUpToDate>false</LinksUpToDate>
  <CharactersWithSpaces>55717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DAVID.CALVO</dc:creator>
  <cp:lastModifiedBy>César Alejandro Geney Celis</cp:lastModifiedBy>
  <cp:revision>2</cp:revision>
  <dcterms:created xsi:type="dcterms:W3CDTF">2026-03-30T22:09:00Z</dcterms:created>
  <dcterms:modified xsi:type="dcterms:W3CDTF">2026-03-30T22:09:00Z</dcterms:modified>
</cp:coreProperties>
</file>